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D39B1" w:rsidP="007741EE" w:rsidRDefault="005D39B1" w14:paraId="072969A9" w14:textId="77777777">
      <w:pPr>
        <w:spacing w:after="0" w:line="240" w:lineRule="auto"/>
        <w:jc w:val="center"/>
      </w:pPr>
      <w:bookmarkStart w:name="_Hlk55476022" w:id="0"/>
      <w:r>
        <w:rPr>
          <w:b/>
          <w:bCs/>
          <w:smallCaps/>
          <w:noProof/>
          <w:sz w:val="32"/>
          <w:szCs w:val="32"/>
        </w:rPr>
        <w:drawing>
          <wp:inline distT="0" distB="0" distL="0" distR="0" wp14:anchorId="24C498B5" wp14:editId="252324C8">
            <wp:extent cx="3269704" cy="1166457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C logo 2007 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316" cy="118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Pr="005559D1" w:rsidR="005D39B1" w:rsidP="007741EE" w:rsidRDefault="005559D1" w14:paraId="2394F696" w14:textId="14E37CB9">
      <w:pPr>
        <w:spacing w:after="0" w:line="240" w:lineRule="auto"/>
        <w:jc w:val="center"/>
        <w:rPr>
          <w:b/>
          <w:bCs/>
          <w:smallCaps/>
          <w:sz w:val="44"/>
          <w:szCs w:val="44"/>
        </w:rPr>
      </w:pPr>
      <w:r w:rsidRPr="005559D1">
        <w:rPr>
          <w:b/>
          <w:bCs/>
          <w:smallCaps/>
          <w:sz w:val="44"/>
          <w:szCs w:val="44"/>
        </w:rPr>
        <w:t xml:space="preserve">OMICRON ARG </w:t>
      </w:r>
      <w:r w:rsidRPr="005559D1" w:rsidR="00B36BE4">
        <w:rPr>
          <w:b/>
          <w:bCs/>
          <w:smallCaps/>
          <w:sz w:val="44"/>
          <w:szCs w:val="44"/>
        </w:rPr>
        <w:t>202</w:t>
      </w:r>
      <w:r w:rsidRPr="005559D1" w:rsidR="00185C09">
        <w:rPr>
          <w:b/>
          <w:bCs/>
          <w:smallCaps/>
          <w:sz w:val="44"/>
          <w:szCs w:val="44"/>
        </w:rPr>
        <w:t>2</w:t>
      </w:r>
      <w:r w:rsidRPr="005559D1" w:rsidR="00C45C75">
        <w:rPr>
          <w:b/>
          <w:bCs/>
          <w:smallCaps/>
          <w:sz w:val="44"/>
          <w:szCs w:val="44"/>
        </w:rPr>
        <w:t xml:space="preserve"> </w:t>
      </w:r>
      <w:r w:rsidRPr="005559D1" w:rsidR="00ED48DC">
        <w:rPr>
          <w:b/>
          <w:bCs/>
          <w:smallCaps/>
          <w:sz w:val="44"/>
          <w:szCs w:val="44"/>
        </w:rPr>
        <w:t>(Discretionary</w:t>
      </w:r>
      <w:r w:rsidRPr="005559D1" w:rsidR="00875291">
        <w:rPr>
          <w:b/>
          <w:bCs/>
          <w:smallCaps/>
          <w:sz w:val="44"/>
          <w:szCs w:val="44"/>
        </w:rPr>
        <w:t>)</w:t>
      </w:r>
      <w:r w:rsidRPr="005559D1" w:rsidR="00C14979">
        <w:rPr>
          <w:b/>
          <w:bCs/>
          <w:smallCaps/>
          <w:sz w:val="44"/>
          <w:szCs w:val="44"/>
        </w:rPr>
        <w:t xml:space="preserve"> Funding</w:t>
      </w:r>
    </w:p>
    <w:p w:rsidRPr="005559D1" w:rsidR="005D39B1" w:rsidP="007741EE" w:rsidRDefault="00742909" w14:paraId="7E242FF6" w14:textId="7B1EAAAD">
      <w:pPr>
        <w:spacing w:after="0" w:line="240" w:lineRule="auto"/>
        <w:jc w:val="center"/>
        <w:rPr>
          <w:b/>
          <w:bCs/>
          <w:smallCaps/>
          <w:sz w:val="44"/>
          <w:szCs w:val="44"/>
        </w:rPr>
      </w:pPr>
      <w:r w:rsidRPr="005559D1">
        <w:rPr>
          <w:b/>
          <w:bCs/>
          <w:smallCaps/>
          <w:sz w:val="44"/>
          <w:szCs w:val="44"/>
        </w:rPr>
        <w:t>GUIDANCE</w:t>
      </w:r>
    </w:p>
    <w:p w:rsidR="009763AF" w:rsidP="007741EE" w:rsidRDefault="009763AF" w14:paraId="6F39606E" w14:textId="4BDB67E5">
      <w:pPr>
        <w:spacing w:after="0" w:line="240" w:lineRule="auto"/>
        <w:jc w:val="both"/>
        <w:rPr>
          <w:b/>
          <w:bCs/>
        </w:rPr>
      </w:pPr>
    </w:p>
    <w:p w:rsidR="009763AF" w:rsidP="007741EE" w:rsidRDefault="009763AF" w14:paraId="24EF8B13" w14:textId="77777777">
      <w:pPr>
        <w:spacing w:after="0" w:line="240" w:lineRule="auto"/>
        <w:jc w:val="both"/>
        <w:rPr>
          <w:b/>
          <w:bCs/>
        </w:rPr>
      </w:pPr>
    </w:p>
    <w:p w:rsidR="005D39B1" w:rsidP="007741EE" w:rsidRDefault="005D39B1" w14:paraId="4DF0F300" w14:textId="07355AF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Introduction</w:t>
      </w:r>
    </w:p>
    <w:p w:rsidR="005D39B1" w:rsidP="007741EE" w:rsidRDefault="005D39B1" w14:paraId="2FA727CF" w14:textId="77777777">
      <w:pPr>
        <w:spacing w:after="0" w:line="240" w:lineRule="auto"/>
        <w:jc w:val="both"/>
      </w:pPr>
    </w:p>
    <w:p w:rsidR="005D39B1" w:rsidP="007741EE" w:rsidRDefault="005D39B1" w14:paraId="3AAEFDC0" w14:textId="6E1221F9">
      <w:pPr>
        <w:spacing w:after="0" w:line="240" w:lineRule="auto"/>
        <w:jc w:val="both"/>
      </w:pPr>
      <w:r>
        <w:t xml:space="preserve">In response to the </w:t>
      </w:r>
      <w:r w:rsidR="00185C09">
        <w:t xml:space="preserve">rise of the </w:t>
      </w:r>
      <w:r w:rsidR="005559D1">
        <w:t>O</w:t>
      </w:r>
      <w:r w:rsidR="00185C09">
        <w:t xml:space="preserve">micron variant in December 2021 the chancellor announced </w:t>
      </w:r>
      <w:r w:rsidR="005559D1">
        <w:t xml:space="preserve">a </w:t>
      </w:r>
      <w:r w:rsidR="00185C09">
        <w:t xml:space="preserve">further £1b funding package for business </w:t>
      </w:r>
      <w:r w:rsidR="005559D1">
        <w:t>grant</w:t>
      </w:r>
      <w:r w:rsidR="00185C09">
        <w:t xml:space="preserve"> support to be provided via local authorities to help </w:t>
      </w:r>
      <w:r>
        <w:t xml:space="preserve">small businesses, </w:t>
      </w:r>
      <w:r w:rsidR="00185C09">
        <w:t xml:space="preserve">particularly those in the hospitality and leisure sector including accommodation providers. </w:t>
      </w:r>
      <w:r>
        <w:t xml:space="preserve"> </w:t>
      </w:r>
      <w:r w:rsidR="007741EE">
        <w:t xml:space="preserve"> </w:t>
      </w:r>
      <w:r>
        <w:t xml:space="preserve">The </w:t>
      </w:r>
      <w:r w:rsidR="00185C09">
        <w:t xml:space="preserve">new </w:t>
      </w:r>
      <w:r w:rsidR="005559D1">
        <w:t>O</w:t>
      </w:r>
      <w:r w:rsidR="00185C09">
        <w:t xml:space="preserve">micron support </w:t>
      </w:r>
      <w:r>
        <w:t>has two elements:</w:t>
      </w:r>
    </w:p>
    <w:p w:rsidR="005D39B1" w:rsidP="007741EE" w:rsidRDefault="005D39B1" w14:paraId="73EC4346" w14:textId="49DDC113">
      <w:pPr>
        <w:spacing w:after="0" w:line="240" w:lineRule="auto"/>
        <w:jc w:val="both"/>
      </w:pPr>
    </w:p>
    <w:p w:rsidR="005D39B1" w:rsidP="007741EE" w:rsidRDefault="0015528F" w14:paraId="5B44DE6D" w14:textId="50EFD4B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</w:t>
      </w:r>
      <w:r w:rsidR="00185C09">
        <w:t xml:space="preserve">Omicron Hospitality and Leisure Grant (OHLG) which </w:t>
      </w:r>
      <w:r w:rsidR="005D39B1">
        <w:t xml:space="preserve">is for </w:t>
      </w:r>
      <w:r w:rsidR="00185C09">
        <w:t>those operating from business rated premises in the hospitality, leisure and accommodation sectors (as defined in the detailed government guidance)</w:t>
      </w:r>
      <w:r w:rsidR="005559D1">
        <w:t xml:space="preserve"> </w:t>
      </w:r>
      <w:r w:rsidR="005D39B1">
        <w:t xml:space="preserve">and is </w:t>
      </w:r>
      <w:r w:rsidR="00185C09">
        <w:t xml:space="preserve">grant </w:t>
      </w:r>
      <w:r w:rsidR="005D39B1">
        <w:t>based on their rateable value.</w:t>
      </w:r>
    </w:p>
    <w:p w:rsidRPr="00E7139D" w:rsidR="00E7139D" w:rsidP="007741EE" w:rsidRDefault="00185C09" w14:paraId="1A6074AE" w14:textId="1D422C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F24A96">
        <w:rPr>
          <w:b/>
          <w:bCs/>
        </w:rPr>
        <w:t>New Additional Restrictions Grant 2022 (ARG)</w:t>
      </w:r>
      <w:r>
        <w:t xml:space="preserve"> which </w:t>
      </w:r>
      <w:r w:rsidR="00E7139D">
        <w:t xml:space="preserve">is </w:t>
      </w:r>
      <w:r>
        <w:t xml:space="preserve">further </w:t>
      </w:r>
      <w:r w:rsidR="00E7139D">
        <w:t>discretionary fund</w:t>
      </w:r>
      <w:r>
        <w:t xml:space="preserve">ing </w:t>
      </w:r>
      <w:r w:rsidR="00E7139D">
        <w:t xml:space="preserve">to support companies severely </w:t>
      </w:r>
      <w:r w:rsidR="003E6D2D">
        <w:t>impacted</w:t>
      </w:r>
      <w:r w:rsidR="00E7139D">
        <w:t xml:space="preserve"> by </w:t>
      </w:r>
      <w:r w:rsidR="005559D1">
        <w:t>C</w:t>
      </w:r>
      <w:r>
        <w:t xml:space="preserve">ovid and the rise of the </w:t>
      </w:r>
      <w:r w:rsidR="005559D1">
        <w:t>O</w:t>
      </w:r>
      <w:r>
        <w:t>micron variant</w:t>
      </w:r>
      <w:r w:rsidR="00596D12">
        <w:t>.</w:t>
      </w:r>
      <w:r>
        <w:t xml:space="preserve"> </w:t>
      </w:r>
    </w:p>
    <w:p w:rsidRPr="00E7139D" w:rsidR="00E7139D" w:rsidP="007741EE" w:rsidRDefault="00E7139D" w14:paraId="5AC17E3B" w14:textId="77777777">
      <w:pPr>
        <w:pStyle w:val="ListParagraph"/>
        <w:spacing w:after="0" w:line="240" w:lineRule="auto"/>
        <w:jc w:val="both"/>
        <w:rPr>
          <w:b/>
          <w:bCs/>
        </w:rPr>
      </w:pPr>
    </w:p>
    <w:p w:rsidR="00E7139D" w:rsidP="007741EE" w:rsidRDefault="00E7139D" w14:paraId="2C276FAA" w14:textId="3301CC72">
      <w:pPr>
        <w:pStyle w:val="ListParagraph"/>
        <w:spacing w:after="0" w:line="240" w:lineRule="auto"/>
        <w:ind w:left="0"/>
        <w:jc w:val="both"/>
      </w:pPr>
      <w:r w:rsidRPr="32E2B259" w:rsidR="00E7139D">
        <w:rPr>
          <w:b w:val="1"/>
          <w:bCs w:val="1"/>
        </w:rPr>
        <w:t xml:space="preserve">This guidance is for the </w:t>
      </w:r>
      <w:r w:rsidRPr="32E2B259" w:rsidR="00185C09">
        <w:rPr>
          <w:b w:val="1"/>
          <w:bCs w:val="1"/>
        </w:rPr>
        <w:t xml:space="preserve">new </w:t>
      </w:r>
      <w:r w:rsidRPr="32E2B259" w:rsidR="00C14979">
        <w:rPr>
          <w:b w:val="1"/>
          <w:bCs w:val="1"/>
        </w:rPr>
        <w:t xml:space="preserve">ARG </w:t>
      </w:r>
      <w:r w:rsidRPr="32E2B259" w:rsidR="00B36BE4">
        <w:rPr>
          <w:b w:val="1"/>
          <w:bCs w:val="1"/>
        </w:rPr>
        <w:t>202</w:t>
      </w:r>
      <w:r w:rsidRPr="32E2B259" w:rsidR="00185C09">
        <w:rPr>
          <w:b w:val="1"/>
          <w:bCs w:val="1"/>
        </w:rPr>
        <w:t xml:space="preserve">2 </w:t>
      </w:r>
      <w:r w:rsidRPr="32E2B259" w:rsidR="00C14979">
        <w:rPr>
          <w:b w:val="1"/>
          <w:bCs w:val="1"/>
        </w:rPr>
        <w:t>scheme</w:t>
      </w:r>
      <w:r w:rsidRPr="32E2B259" w:rsidR="00CC79EF">
        <w:rPr>
          <w:b w:val="1"/>
          <w:bCs w:val="1"/>
        </w:rPr>
        <w:t xml:space="preserve"> </w:t>
      </w:r>
      <w:r w:rsidRPr="32E2B259" w:rsidR="00F24A96">
        <w:rPr>
          <w:b w:val="1"/>
          <w:bCs w:val="1"/>
        </w:rPr>
        <w:t>ONLY</w:t>
      </w:r>
      <w:r w:rsidR="00F24A96">
        <w:rPr/>
        <w:t>.</w:t>
      </w:r>
      <w:r w:rsidR="00CC79EF">
        <w:rPr/>
        <w:t xml:space="preserve"> </w:t>
      </w:r>
      <w:r w:rsidR="00C45C75">
        <w:rPr/>
        <w:t xml:space="preserve"> </w:t>
      </w:r>
      <w:r w:rsidR="00185C09">
        <w:rPr/>
        <w:t>Gu</w:t>
      </w:r>
      <w:r w:rsidR="00CC79EF">
        <w:rPr/>
        <w:t xml:space="preserve">idance </w:t>
      </w:r>
      <w:r w:rsidR="00896507">
        <w:rPr/>
        <w:t>detailing eligibility criteria for</w:t>
      </w:r>
      <w:r w:rsidR="00CC79EF">
        <w:rPr/>
        <w:t xml:space="preserve"> </w:t>
      </w:r>
      <w:r w:rsidR="00185C09">
        <w:rPr/>
        <w:t xml:space="preserve">OHLG can be </w:t>
      </w:r>
      <w:r w:rsidR="00896507">
        <w:rPr/>
        <w:t>viewed</w:t>
      </w:r>
      <w:r w:rsidR="00185C09">
        <w:rPr/>
        <w:t xml:space="preserve"> via the </w:t>
      </w:r>
      <w:r w:rsidR="00185C09">
        <w:rPr/>
        <w:t xml:space="preserve">following </w:t>
      </w:r>
      <w:hyperlink r:id="Rfb24bff4e50a400e">
        <w:r w:rsidRPr="32E2B259" w:rsidR="00185C09">
          <w:rPr>
            <w:rStyle w:val="Hyperlink"/>
          </w:rPr>
          <w:t>LINK</w:t>
        </w:r>
      </w:hyperlink>
      <w:r w:rsidR="00CC79EF">
        <w:rPr/>
        <w:t>.</w:t>
      </w:r>
    </w:p>
    <w:p w:rsidR="008431D9" w:rsidP="007741EE" w:rsidRDefault="008431D9" w14:paraId="4B9DC4A3" w14:textId="7E8D853E">
      <w:pPr>
        <w:pStyle w:val="ListParagraph"/>
        <w:spacing w:after="0" w:line="240" w:lineRule="auto"/>
        <w:ind w:left="0"/>
        <w:jc w:val="both"/>
      </w:pPr>
    </w:p>
    <w:p w:rsidRPr="00FF748A" w:rsidR="008431D9" w:rsidP="007741EE" w:rsidRDefault="008431D9" w14:paraId="163D882C" w14:textId="006D3CA6">
      <w:pPr>
        <w:pStyle w:val="ListParagraph"/>
        <w:spacing w:after="0" w:line="240" w:lineRule="auto"/>
        <w:ind w:left="0"/>
        <w:jc w:val="both"/>
        <w:rPr>
          <w:b/>
          <w:bCs/>
        </w:rPr>
      </w:pPr>
      <w:r w:rsidRPr="00FF748A">
        <w:rPr>
          <w:b/>
          <w:bCs/>
        </w:rPr>
        <w:t>Applications for th</w:t>
      </w:r>
      <w:r w:rsidR="00DD6DF8">
        <w:rPr>
          <w:b/>
          <w:bCs/>
        </w:rPr>
        <w:t>is new</w:t>
      </w:r>
      <w:r w:rsidRPr="00FF748A">
        <w:rPr>
          <w:b/>
          <w:bCs/>
        </w:rPr>
        <w:t xml:space="preserve"> ARG 202</w:t>
      </w:r>
      <w:r w:rsidR="00DD6DF8">
        <w:rPr>
          <w:b/>
          <w:bCs/>
        </w:rPr>
        <w:t>2 funding w</w:t>
      </w:r>
      <w:r w:rsidRPr="00FF748A">
        <w:rPr>
          <w:b/>
          <w:bCs/>
        </w:rPr>
        <w:t xml:space="preserve">ill close </w:t>
      </w:r>
      <w:bookmarkStart w:name="_Hlk69211158" w:id="1"/>
      <w:r w:rsidRPr="00FF748A">
        <w:rPr>
          <w:b/>
          <w:bCs/>
        </w:rPr>
        <w:t xml:space="preserve">at 23.59 on </w:t>
      </w:r>
      <w:r w:rsidR="00FF748A">
        <w:rPr>
          <w:b/>
          <w:bCs/>
        </w:rPr>
        <w:t>Monday</w:t>
      </w:r>
      <w:r w:rsidRPr="00FF748A" w:rsidR="00FF748A">
        <w:rPr>
          <w:b/>
          <w:bCs/>
        </w:rPr>
        <w:t xml:space="preserve"> </w:t>
      </w:r>
      <w:r w:rsidR="00596D12">
        <w:rPr>
          <w:b/>
          <w:bCs/>
        </w:rPr>
        <w:t>14</w:t>
      </w:r>
      <w:r w:rsidR="00DD6DF8">
        <w:rPr>
          <w:b/>
          <w:bCs/>
        </w:rPr>
        <w:t xml:space="preserve"> February 2022</w:t>
      </w:r>
      <w:bookmarkEnd w:id="1"/>
      <w:r w:rsidR="007741EE">
        <w:rPr>
          <w:b/>
          <w:bCs/>
        </w:rPr>
        <w:t>.</w:t>
      </w:r>
    </w:p>
    <w:p w:rsidR="00CC79EF" w:rsidP="007741EE" w:rsidRDefault="00CC79EF" w14:paraId="045EDB43" w14:textId="77777777">
      <w:pPr>
        <w:pStyle w:val="ListParagraph"/>
        <w:spacing w:after="0" w:line="240" w:lineRule="auto"/>
        <w:ind w:left="0"/>
        <w:jc w:val="both"/>
      </w:pPr>
    </w:p>
    <w:p w:rsidR="00E7139D" w:rsidP="007741EE" w:rsidRDefault="00F24A96" w14:paraId="7E557E7E" w14:textId="0E38B48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</w:t>
      </w:r>
      <w:r w:rsidR="00E7139D">
        <w:rPr>
          <w:b/>
          <w:bCs/>
        </w:rPr>
        <w:t>riteria</w:t>
      </w:r>
    </w:p>
    <w:p w:rsidR="00E7139D" w:rsidP="007741EE" w:rsidRDefault="00E7139D" w14:paraId="30E2A9DA" w14:textId="77777777">
      <w:pPr>
        <w:spacing w:after="0" w:line="240" w:lineRule="auto"/>
        <w:jc w:val="both"/>
      </w:pPr>
    </w:p>
    <w:p w:rsidR="00E7139D" w:rsidP="007741EE" w:rsidRDefault="00E7139D" w14:paraId="029AD043" w14:textId="0DE14F88">
      <w:pPr>
        <w:spacing w:after="0" w:line="240" w:lineRule="auto"/>
        <w:jc w:val="both"/>
      </w:pPr>
      <w:r>
        <w:t xml:space="preserve">These will be applied to all applications. </w:t>
      </w:r>
      <w:r w:rsidR="00C45C75">
        <w:t xml:space="preserve"> </w:t>
      </w:r>
      <w:r>
        <w:t>Applications can only come from the following:</w:t>
      </w:r>
    </w:p>
    <w:p w:rsidR="00E7139D" w:rsidP="007741EE" w:rsidRDefault="00E7139D" w14:paraId="0834596F" w14:textId="77777777">
      <w:pPr>
        <w:spacing w:after="0" w:line="240" w:lineRule="auto"/>
        <w:jc w:val="both"/>
      </w:pPr>
    </w:p>
    <w:p w:rsidR="00E7139D" w:rsidP="007741EE" w:rsidRDefault="00875291" w14:paraId="5B57A88E" w14:textId="085FEE06">
      <w:pPr>
        <w:pStyle w:val="ListParagraph"/>
        <w:spacing w:after="0" w:line="240" w:lineRule="auto"/>
        <w:jc w:val="both"/>
      </w:pPr>
      <w:r>
        <w:t xml:space="preserve">1. </w:t>
      </w:r>
      <w:r w:rsidR="00E7139D">
        <w:t>Small and micro businesses, as defined in Section 33 Part 2 of the Small Business, Enterprise and Employment Act 2015 and the Companies Act 2006 unless specified in the grant category.</w:t>
      </w:r>
    </w:p>
    <w:p w:rsidR="00E7139D" w:rsidP="007741EE" w:rsidRDefault="00E7139D" w14:paraId="4CEA2704" w14:textId="77777777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To be a small business, under the Companies Act 2006, a business must satisfy two or more of the following requirements in a year—</w:t>
      </w:r>
    </w:p>
    <w:p w:rsidR="00E7139D" w:rsidP="007741EE" w:rsidRDefault="00E7139D" w14:paraId="4DE7B465" w14:textId="7777777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Turnover: Not more than £10.2 million</w:t>
      </w:r>
    </w:p>
    <w:p w:rsidR="00E7139D" w:rsidP="007741EE" w:rsidRDefault="00E7139D" w14:paraId="4D006EC4" w14:textId="7777777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Balance sheet total: Not more than 5.1 million</w:t>
      </w:r>
    </w:p>
    <w:p w:rsidR="00E7139D" w:rsidP="007741EE" w:rsidRDefault="00E7139D" w14:paraId="24A63A82" w14:textId="7777777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Number of employees: a headcount of staff of less than 50</w:t>
      </w:r>
    </w:p>
    <w:p w:rsidR="00E7139D" w:rsidP="007741EE" w:rsidRDefault="00E7139D" w14:paraId="181F56E2" w14:textId="77777777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To be a micro business, under the Companies Act 2006, a business must satisfy two or more of the following requirements—</w:t>
      </w:r>
    </w:p>
    <w:p w:rsidR="00E7139D" w:rsidP="007741EE" w:rsidRDefault="00E7139D" w14:paraId="0554E4C9" w14:textId="7777777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Turnover: Not more than £632,000</w:t>
      </w:r>
      <w:r>
        <w:tab/>
      </w:r>
    </w:p>
    <w:p w:rsidR="00E7139D" w:rsidP="007741EE" w:rsidRDefault="00E7139D" w14:paraId="24D9ADD7" w14:textId="7777777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Balance sheet total: Not more than £316,000</w:t>
      </w:r>
    </w:p>
    <w:p w:rsidR="00E7139D" w:rsidP="007741EE" w:rsidRDefault="00E7139D" w14:paraId="4DEEDB22" w14:textId="50736E2D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Number of employees: a headcount of staff of not more than 10</w:t>
      </w:r>
    </w:p>
    <w:p w:rsidR="00E7139D" w:rsidP="007741EE" w:rsidRDefault="00E7139D" w14:paraId="7756A244" w14:textId="7C628EAC">
      <w:pPr>
        <w:spacing w:after="0" w:line="240" w:lineRule="auto"/>
        <w:ind w:left="720"/>
        <w:jc w:val="both"/>
      </w:pPr>
      <w:r>
        <w:t>In exceptional circumstances, business who exceed these criteria will be considered under the following circumstances:</w:t>
      </w:r>
    </w:p>
    <w:p w:rsidR="00E7139D" w:rsidP="007741EE" w:rsidRDefault="00E7139D" w14:paraId="6C08454F" w14:textId="5786DB68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The company has been severely financially affected by the current restrictions.</w:t>
      </w:r>
    </w:p>
    <w:p w:rsidR="00E7139D" w:rsidP="007741EE" w:rsidRDefault="00E7139D" w14:paraId="19A8B7D7" w14:textId="10FD0826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Its’ principal base of operation is the Isle of Wight</w:t>
      </w:r>
    </w:p>
    <w:p w:rsidR="00395390" w:rsidP="007741EE" w:rsidRDefault="00395390" w14:paraId="562E5200" w14:textId="62BD36A1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It doesn’t employ more than 250 employees (FTEs)</w:t>
      </w:r>
    </w:p>
    <w:p w:rsidR="00875291" w:rsidP="007741EE" w:rsidRDefault="00875291" w14:paraId="2098377C" w14:textId="1963D40C">
      <w:pPr>
        <w:pStyle w:val="ListParagraph"/>
        <w:spacing w:after="0" w:line="240" w:lineRule="auto"/>
        <w:ind w:left="1440"/>
        <w:jc w:val="both"/>
      </w:pPr>
    </w:p>
    <w:p w:rsidR="00543935" w:rsidP="007741EE" w:rsidRDefault="00875291" w14:paraId="6475DE7A" w14:textId="7645739A">
      <w:pPr>
        <w:pStyle w:val="ListParagraph"/>
        <w:spacing w:after="0" w:line="240" w:lineRule="auto"/>
        <w:jc w:val="both"/>
      </w:pPr>
      <w:r>
        <w:t>2</w:t>
      </w:r>
      <w:r w:rsidR="007741EE">
        <w:t>.</w:t>
      </w:r>
      <w:r w:rsidR="001D7AEF">
        <w:t xml:space="preserve"> </w:t>
      </w:r>
      <w:r w:rsidR="00E7139D">
        <w:t xml:space="preserve">Businesses which </w:t>
      </w:r>
      <w:r w:rsidR="00543935">
        <w:t>do not pay business rates</w:t>
      </w:r>
      <w:r w:rsidR="00E7139D">
        <w:t xml:space="preserve"> which can demonstrate a significant impact on their business as a result of the </w:t>
      </w:r>
      <w:r w:rsidR="00DD6DF8">
        <w:t>rise of the omicron variant.</w:t>
      </w:r>
      <w:r w:rsidR="00E7139D">
        <w:t xml:space="preserve"> </w:t>
      </w:r>
    </w:p>
    <w:p w:rsidR="00543935" w:rsidP="007741EE" w:rsidRDefault="00543935" w14:paraId="1DA00A65" w14:textId="77777777">
      <w:pPr>
        <w:pStyle w:val="ListParagraph"/>
        <w:spacing w:after="0" w:line="240" w:lineRule="auto"/>
        <w:jc w:val="both"/>
      </w:pPr>
    </w:p>
    <w:p w:rsidR="00E7139D" w:rsidP="007741EE" w:rsidRDefault="00543935" w14:paraId="48F4C78B" w14:textId="46251EE3">
      <w:pPr>
        <w:pStyle w:val="ListParagraph"/>
        <w:spacing w:after="0" w:line="240" w:lineRule="auto"/>
        <w:jc w:val="both"/>
      </w:pPr>
      <w:r>
        <w:t>3</w:t>
      </w:r>
      <w:r w:rsidR="007741EE">
        <w:t>.</w:t>
      </w:r>
      <w:r>
        <w:t xml:space="preserve"> The business needs to be </w:t>
      </w:r>
      <w:bookmarkStart w:name="_Hlk93478360" w:id="2"/>
      <w:r>
        <w:t xml:space="preserve">solvent and operational on </w:t>
      </w:r>
      <w:r w:rsidR="00355310">
        <w:t>Wednesday</w:t>
      </w:r>
      <w:r>
        <w:t xml:space="preserve"> </w:t>
      </w:r>
      <w:r w:rsidR="00DD6DF8">
        <w:t>5 January 2022</w:t>
      </w:r>
      <w:bookmarkEnd w:id="2"/>
      <w:r>
        <w:t>.</w:t>
      </w:r>
    </w:p>
    <w:p w:rsidR="00DD7E47" w:rsidP="007741EE" w:rsidRDefault="00DD7E47" w14:paraId="2D167803" w14:textId="3706CDD9">
      <w:pPr>
        <w:spacing w:after="0" w:line="240" w:lineRule="auto"/>
        <w:jc w:val="both"/>
      </w:pPr>
    </w:p>
    <w:p w:rsidR="00395390" w:rsidP="007741EE" w:rsidRDefault="00DD7E47" w14:paraId="76455DDB" w14:textId="69347BCC">
      <w:pPr>
        <w:spacing w:after="0" w:line="240" w:lineRule="auto"/>
        <w:jc w:val="both"/>
      </w:pPr>
      <w:r>
        <w:lastRenderedPageBreak/>
        <w:t xml:space="preserve">To clarify – the form asks if you </w:t>
      </w:r>
      <w:r w:rsidR="00355310">
        <w:t>we</w:t>
      </w:r>
      <w:r>
        <w:t xml:space="preserve">re operational on </w:t>
      </w:r>
      <w:r w:rsidR="00355310">
        <w:t>Wednesday</w:t>
      </w:r>
      <w:r>
        <w:t xml:space="preserve"> </w:t>
      </w:r>
      <w:r w:rsidR="00DD6DF8">
        <w:t>5 January 2022</w:t>
      </w:r>
      <w:r>
        <w:t>. To be operational, a business should be able to trade on that day – for example a shop was open</w:t>
      </w:r>
      <w:r w:rsidR="00543935">
        <w:t>.</w:t>
      </w:r>
      <w:r w:rsidR="000100B9">
        <w:t xml:space="preserve"> </w:t>
      </w:r>
      <w:r w:rsidR="00597E59">
        <w:t xml:space="preserve"> Please see additional information at Appendix 1.</w:t>
      </w:r>
    </w:p>
    <w:p w:rsidR="00395390" w:rsidP="007741EE" w:rsidRDefault="00395390" w14:paraId="015581F8" w14:textId="77777777">
      <w:pPr>
        <w:spacing w:after="0" w:line="240" w:lineRule="auto"/>
        <w:jc w:val="both"/>
      </w:pPr>
    </w:p>
    <w:p w:rsidR="00395390" w:rsidP="007741EE" w:rsidRDefault="00395390" w14:paraId="4867B40D" w14:textId="26DA6923">
      <w:pPr>
        <w:spacing w:after="0" w:line="240" w:lineRule="auto"/>
        <w:jc w:val="both"/>
      </w:pPr>
      <w:r>
        <w:t xml:space="preserve">Businesses who have </w:t>
      </w:r>
      <w:r w:rsidR="00DD6DF8">
        <w:t xml:space="preserve">previously </w:t>
      </w:r>
      <w:r>
        <w:t xml:space="preserve">applied for the Coronavirus Job Retention Scheme and the Self Employment Income Support Scheme are eligible to apply for this scheme. </w:t>
      </w:r>
    </w:p>
    <w:p w:rsidR="00395390" w:rsidP="007741EE" w:rsidRDefault="00395390" w14:paraId="4D732FF7" w14:textId="77777777">
      <w:pPr>
        <w:spacing w:after="0" w:line="240" w:lineRule="auto"/>
        <w:jc w:val="both"/>
      </w:pPr>
    </w:p>
    <w:p w:rsidR="00395390" w:rsidP="007741EE" w:rsidRDefault="00395390" w14:paraId="4618DC85" w14:textId="6BC0760F">
      <w:pPr>
        <w:spacing w:after="0" w:line="240" w:lineRule="auto"/>
        <w:jc w:val="both"/>
      </w:pPr>
      <w:r>
        <w:t>Companies that are in administration, are insolvent or where a striking-off notice has been made are not eligible for funding under this scheme.</w:t>
      </w:r>
    </w:p>
    <w:p w:rsidR="00E7139D" w:rsidP="007741EE" w:rsidRDefault="00E7139D" w14:paraId="41146FB6" w14:textId="3ACFC1C2">
      <w:pPr>
        <w:pStyle w:val="ListParagraph"/>
        <w:spacing w:after="0" w:line="240" w:lineRule="auto"/>
        <w:ind w:left="0"/>
        <w:jc w:val="both"/>
      </w:pPr>
    </w:p>
    <w:p w:rsidR="003F5943" w:rsidP="007741EE" w:rsidRDefault="00395390" w14:paraId="11516220" w14:textId="0F43DFE8">
      <w:pPr>
        <w:pStyle w:val="ListParagraph"/>
        <w:spacing w:after="0" w:line="240" w:lineRule="auto"/>
        <w:ind w:left="0"/>
        <w:jc w:val="both"/>
      </w:pPr>
      <w:r>
        <w:t xml:space="preserve">Businesses will be able to apply for </w:t>
      </w:r>
      <w:r w:rsidR="00DD6DF8">
        <w:t xml:space="preserve">a </w:t>
      </w:r>
      <w:r>
        <w:t>grant</w:t>
      </w:r>
      <w:r w:rsidR="00DD6DF8">
        <w:t xml:space="preserve"> which will be considered on the </w:t>
      </w:r>
      <w:r>
        <w:t>strength of the</w:t>
      </w:r>
      <w:r w:rsidR="00DD6DF8">
        <w:t xml:space="preserve"> </w:t>
      </w:r>
      <w:r>
        <w:t xml:space="preserve">application and the evidence provided. </w:t>
      </w:r>
      <w:r w:rsidR="00DD6DF8">
        <w:t>Awards will be made in light of the number and range of applications made relative to the grant money provided by central government to the council.</w:t>
      </w:r>
      <w:r w:rsidR="003F5943">
        <w:t xml:space="preserve">  All decisions on grant applications received will be made after the closing date of </w:t>
      </w:r>
      <w:r w:rsidR="00F24A96">
        <w:t>Monday 14</w:t>
      </w:r>
      <w:r w:rsidR="003F5943">
        <w:t xml:space="preserve"> February 2022.  This is to allow awards to be made in recognition of the limited funds available.</w:t>
      </w:r>
    </w:p>
    <w:p w:rsidR="00395390" w:rsidP="007741EE" w:rsidRDefault="00395390" w14:paraId="056DBE7F" w14:textId="5E31B386">
      <w:pPr>
        <w:pStyle w:val="ListParagraph"/>
        <w:spacing w:after="0" w:line="240" w:lineRule="auto"/>
        <w:ind w:left="0"/>
        <w:jc w:val="both"/>
      </w:pPr>
    </w:p>
    <w:p w:rsidR="00395390" w:rsidP="007741EE" w:rsidRDefault="00395390" w14:paraId="33C10E05" w14:textId="65455956">
      <w:pPr>
        <w:pStyle w:val="ListParagraph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It is important to stress that b</w:t>
      </w:r>
      <w:r w:rsidRPr="00395390">
        <w:rPr>
          <w:b/>
          <w:bCs/>
        </w:rPr>
        <w:t xml:space="preserve">usinesses will need to evidence they were </w:t>
      </w:r>
      <w:r w:rsidR="001D7AEF">
        <w:rPr>
          <w:b/>
          <w:bCs/>
        </w:rPr>
        <w:t>solvent</w:t>
      </w:r>
      <w:r w:rsidRPr="00395390">
        <w:rPr>
          <w:b/>
          <w:bCs/>
        </w:rPr>
        <w:t xml:space="preserve"> on </w:t>
      </w:r>
      <w:r w:rsidR="00896507">
        <w:rPr>
          <w:b/>
          <w:bCs/>
        </w:rPr>
        <w:t xml:space="preserve">Wednesday </w:t>
      </w:r>
      <w:r w:rsidR="00DD6DF8">
        <w:rPr>
          <w:b/>
          <w:bCs/>
        </w:rPr>
        <w:t xml:space="preserve">5 January </w:t>
      </w:r>
      <w:r w:rsidR="009F319E">
        <w:rPr>
          <w:b/>
          <w:bCs/>
        </w:rPr>
        <w:t xml:space="preserve">2022 </w:t>
      </w:r>
      <w:r w:rsidRPr="00395390">
        <w:rPr>
          <w:b/>
          <w:bCs/>
        </w:rPr>
        <w:t>and</w:t>
      </w:r>
      <w:r>
        <w:rPr>
          <w:b/>
          <w:bCs/>
        </w:rPr>
        <w:t xml:space="preserve"> that</w:t>
      </w:r>
      <w:r w:rsidRPr="00395390">
        <w:rPr>
          <w:b/>
          <w:bCs/>
        </w:rPr>
        <w:t xml:space="preserve"> they </w:t>
      </w:r>
      <w:r w:rsidR="00DD6DF8">
        <w:rPr>
          <w:b/>
          <w:bCs/>
        </w:rPr>
        <w:t>can demonstrate with submitted evidence that they have been specifically impacted sin</w:t>
      </w:r>
      <w:r w:rsidR="00646D1A">
        <w:rPr>
          <w:b/>
          <w:bCs/>
        </w:rPr>
        <w:t>c</w:t>
      </w:r>
      <w:r w:rsidR="00DD6DF8">
        <w:rPr>
          <w:b/>
          <w:bCs/>
        </w:rPr>
        <w:t xml:space="preserve">e December 2021 by the rise of the </w:t>
      </w:r>
      <w:r w:rsidR="00646D1A">
        <w:rPr>
          <w:b/>
          <w:bCs/>
        </w:rPr>
        <w:t>O</w:t>
      </w:r>
      <w:r w:rsidR="00DD6DF8">
        <w:rPr>
          <w:b/>
          <w:bCs/>
        </w:rPr>
        <w:t>micron variant</w:t>
      </w:r>
      <w:r w:rsidR="009F319E">
        <w:rPr>
          <w:b/>
          <w:bCs/>
        </w:rPr>
        <w:t>.</w:t>
      </w:r>
      <w:r w:rsidR="00506B22">
        <w:rPr>
          <w:b/>
          <w:bCs/>
        </w:rPr>
        <w:t xml:space="preserve"> </w:t>
      </w:r>
    </w:p>
    <w:p w:rsidR="00506B22" w:rsidP="007741EE" w:rsidRDefault="00506B22" w14:paraId="263986A9" w14:textId="07EFD89D">
      <w:pPr>
        <w:pStyle w:val="ListParagraph"/>
        <w:spacing w:after="0" w:line="240" w:lineRule="auto"/>
        <w:ind w:left="0"/>
        <w:jc w:val="both"/>
        <w:rPr>
          <w:b/>
          <w:bCs/>
        </w:rPr>
      </w:pPr>
    </w:p>
    <w:p w:rsidR="00506B22" w:rsidP="007741EE" w:rsidRDefault="00506B22" w14:paraId="1E10910F" w14:textId="0EE32FC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Grant Process</w:t>
      </w:r>
    </w:p>
    <w:p w:rsidR="00E45A18" w:rsidP="007741EE" w:rsidRDefault="00E45A18" w14:paraId="3CAD233D" w14:textId="592DA03E">
      <w:pPr>
        <w:spacing w:after="0" w:line="240" w:lineRule="auto"/>
        <w:jc w:val="both"/>
        <w:rPr>
          <w:b/>
          <w:bCs/>
        </w:rPr>
      </w:pPr>
    </w:p>
    <w:p w:rsidRPr="00E45A18" w:rsidR="00E45A18" w:rsidP="007741EE" w:rsidRDefault="00E45A18" w14:paraId="4669567F" w14:textId="4E92833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PLEASE NOTE –</w:t>
      </w:r>
      <w:r w:rsidR="001D7A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APPLICATIONS </w:t>
      </w:r>
      <w:r w:rsidR="001D7AEF">
        <w:rPr>
          <w:b/>
          <w:bCs/>
          <w:sz w:val="24"/>
          <w:szCs w:val="24"/>
        </w:rPr>
        <w:t xml:space="preserve">FOR </w:t>
      </w:r>
      <w:r w:rsidR="009F319E">
        <w:rPr>
          <w:b/>
          <w:bCs/>
          <w:sz w:val="24"/>
          <w:szCs w:val="24"/>
        </w:rPr>
        <w:t xml:space="preserve">THIS </w:t>
      </w:r>
      <w:r w:rsidR="001D7AEF">
        <w:rPr>
          <w:b/>
          <w:bCs/>
          <w:sz w:val="24"/>
          <w:szCs w:val="24"/>
        </w:rPr>
        <w:t xml:space="preserve">FUNDING </w:t>
      </w:r>
      <w:r w:rsidR="009F319E">
        <w:rPr>
          <w:b/>
          <w:bCs/>
          <w:sz w:val="24"/>
          <w:szCs w:val="24"/>
        </w:rPr>
        <w:t xml:space="preserve">WILL CLOSE ON </w:t>
      </w:r>
      <w:r w:rsidR="00896507">
        <w:rPr>
          <w:b/>
          <w:bCs/>
          <w:sz w:val="24"/>
          <w:szCs w:val="24"/>
        </w:rPr>
        <w:t>MONDAY 14</w:t>
      </w:r>
      <w:r w:rsidR="009F319E">
        <w:rPr>
          <w:b/>
          <w:bCs/>
          <w:sz w:val="24"/>
          <w:szCs w:val="24"/>
        </w:rPr>
        <w:t xml:space="preserve"> FEBRUARY 2022</w:t>
      </w:r>
    </w:p>
    <w:p w:rsidR="00506B22" w:rsidP="007741EE" w:rsidRDefault="00506B22" w14:paraId="7C99A877" w14:textId="77777777">
      <w:pPr>
        <w:spacing w:after="0" w:line="240" w:lineRule="auto"/>
        <w:jc w:val="both"/>
        <w:rPr>
          <w:b/>
          <w:bCs/>
        </w:rPr>
      </w:pPr>
    </w:p>
    <w:p w:rsidR="00506B22" w:rsidP="007741EE" w:rsidRDefault="00ED48DC" w14:paraId="2DE0CA07" w14:textId="2CD62F9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This </w:t>
      </w:r>
      <w:r w:rsidR="00506B22">
        <w:t xml:space="preserve">guidance </w:t>
      </w:r>
      <w:r>
        <w:t>is</w:t>
      </w:r>
      <w:r w:rsidR="00506B22">
        <w:t xml:space="preserve"> available as a downloadable document on the council’s website.</w:t>
      </w:r>
    </w:p>
    <w:p w:rsidR="009F319E" w:rsidP="007741EE" w:rsidRDefault="009F319E" w14:paraId="2F7EAA5B" w14:textId="6736655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The council can only accept applications made online HERE and cannot accept email or paper copies.</w:t>
      </w:r>
    </w:p>
    <w:p w:rsidRPr="00506B22" w:rsidR="00506B22" w:rsidP="007741EE" w:rsidRDefault="00506B22" w14:paraId="48D82240" w14:textId="363F2C21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The scheme will run </w:t>
      </w:r>
      <w:r w:rsidRPr="007741EE" w:rsidR="007741EE">
        <w:t xml:space="preserve">until 23.59 on Monday </w:t>
      </w:r>
      <w:r w:rsidR="00896507">
        <w:t>14</w:t>
      </w:r>
      <w:r w:rsidR="009F319E">
        <w:t xml:space="preserve"> February 2022</w:t>
      </w:r>
      <w:r>
        <w:t xml:space="preserve">. </w:t>
      </w:r>
      <w:r w:rsidR="009F319E">
        <w:rPr>
          <w:b/>
          <w:bCs/>
        </w:rPr>
        <w:t>ALL</w:t>
      </w:r>
      <w:r>
        <w:rPr>
          <w:b/>
          <w:bCs/>
        </w:rPr>
        <w:t xml:space="preserve"> applications will be considered on</w:t>
      </w:r>
      <w:r w:rsidR="009F319E">
        <w:rPr>
          <w:b/>
          <w:bCs/>
        </w:rPr>
        <w:t>ce the deadline closed on the basis of the information provided.</w:t>
      </w:r>
      <w:r>
        <w:rPr>
          <w:b/>
          <w:bCs/>
        </w:rPr>
        <w:t xml:space="preserve"> </w:t>
      </w:r>
    </w:p>
    <w:p w:rsidR="00506B22" w:rsidP="007741EE" w:rsidRDefault="009F319E" w14:paraId="2B9FF8E2" w14:textId="71237D3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All applications will be evaluated and determined by the Island</w:t>
      </w:r>
      <w:r w:rsidR="00646D1A">
        <w:t>'</w:t>
      </w:r>
      <w:r>
        <w:t>s Economic Development Board.</w:t>
      </w:r>
    </w:p>
    <w:p w:rsidR="00506B22" w:rsidP="007741EE" w:rsidRDefault="009F319E" w14:paraId="26A6DAC0" w14:textId="5091078B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Applicants will be advised of the decision </w:t>
      </w:r>
      <w:r w:rsidR="00506B22">
        <w:t xml:space="preserve">via email. </w:t>
      </w:r>
      <w:r w:rsidR="00C14979">
        <w:t xml:space="preserve">(Please add </w:t>
      </w:r>
      <w:hyperlink w:history="1" r:id="rId9">
        <w:r w:rsidRPr="001A4A98" w:rsidR="00C14979">
          <w:rPr>
            <w:rStyle w:val="Hyperlink"/>
          </w:rPr>
          <w:t>ecdev@iow.gov.uk</w:t>
        </w:r>
      </w:hyperlink>
      <w:r w:rsidR="00C14979">
        <w:t xml:space="preserve"> to your contacts)</w:t>
      </w:r>
    </w:p>
    <w:p w:rsidR="00506B22" w:rsidP="007741EE" w:rsidRDefault="00506B22" w14:paraId="6A22C7FF" w14:textId="2C546D4D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Should an applicant be unsuccessful, they may appeal to the </w:t>
      </w:r>
      <w:r w:rsidR="009F319E">
        <w:t xml:space="preserve">Director of Regeneration who in consultation with the Cabinet member for Regeneration and Business will consider and determine the appeal. </w:t>
      </w:r>
      <w:r w:rsidR="00C37686">
        <w:t xml:space="preserve">Their </w:t>
      </w:r>
      <w:r w:rsidR="009F319E">
        <w:t>decision is final</w:t>
      </w:r>
      <w:r>
        <w:t>.</w:t>
      </w:r>
    </w:p>
    <w:p w:rsidR="00506B22" w:rsidP="007741EE" w:rsidRDefault="00506B22" w14:paraId="535F7015" w14:textId="7777777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Successful applicants will receive payment through the normal council payment channels. </w:t>
      </w:r>
    </w:p>
    <w:p w:rsidR="00506B22" w:rsidP="007741EE" w:rsidRDefault="00506B22" w14:paraId="1F097CBF" w14:textId="3AFD6D22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Applicants </w:t>
      </w:r>
      <w:r w:rsidR="00ED48DC">
        <w:t>are</w:t>
      </w:r>
      <w:r>
        <w:t xml:space="preserve"> reminded that the grant is taxable and should be declared.</w:t>
      </w:r>
    </w:p>
    <w:p w:rsidR="001936EB" w:rsidP="007741EE" w:rsidRDefault="001936EB" w14:paraId="7EB326B0" w14:textId="77777777">
      <w:pPr>
        <w:spacing w:after="0" w:line="240" w:lineRule="auto"/>
        <w:jc w:val="both"/>
        <w:rPr>
          <w:b/>
          <w:bCs/>
        </w:rPr>
      </w:pPr>
    </w:p>
    <w:p w:rsidR="001936EB" w:rsidP="007741EE" w:rsidRDefault="001936EB" w14:paraId="2C6C2CF1" w14:textId="690EC853">
      <w:pPr>
        <w:spacing w:after="0" w:line="240" w:lineRule="auto"/>
        <w:jc w:val="both"/>
        <w:rPr>
          <w:b/>
          <w:bCs/>
        </w:rPr>
      </w:pPr>
      <w:r w:rsidRPr="001936EB">
        <w:rPr>
          <w:b/>
          <w:bCs/>
        </w:rPr>
        <w:t>Please</w:t>
      </w:r>
      <w:r>
        <w:rPr>
          <w:b/>
          <w:bCs/>
        </w:rPr>
        <w:t xml:space="preserve"> note that you will be required to</w:t>
      </w:r>
      <w:r w:rsidRPr="001936EB">
        <w:rPr>
          <w:b/>
          <w:bCs/>
        </w:rPr>
        <w:t xml:space="preserve"> provide evidence of bank statement </w:t>
      </w:r>
      <w:r w:rsidR="00C37686">
        <w:rPr>
          <w:b/>
          <w:bCs/>
        </w:rPr>
        <w:t xml:space="preserve">dated within the last 3 months </w:t>
      </w:r>
      <w:r w:rsidRPr="001936EB">
        <w:rPr>
          <w:b/>
          <w:bCs/>
        </w:rPr>
        <w:t>(transaction details can be redacted) but all other information matching the information provided must be shown</w:t>
      </w:r>
      <w:r>
        <w:rPr>
          <w:b/>
          <w:bCs/>
        </w:rPr>
        <w:t xml:space="preserve"> – specifically the name on the bank account, the account holder’s address and the account details such as sort code and account number</w:t>
      </w:r>
      <w:r w:rsidRPr="001936EB">
        <w:rPr>
          <w:b/>
          <w:bCs/>
        </w:rPr>
        <w:t>.  This is to enable the Council to undertake mandatory fraud checks</w:t>
      </w:r>
      <w:r>
        <w:rPr>
          <w:b/>
          <w:bCs/>
        </w:rPr>
        <w:t xml:space="preserve"> which the government have insisted on as part of the conditions of the council receiving </w:t>
      </w:r>
      <w:r w:rsidR="007741EE">
        <w:rPr>
          <w:b/>
          <w:bCs/>
        </w:rPr>
        <w:t xml:space="preserve">and distributing </w:t>
      </w:r>
      <w:r>
        <w:rPr>
          <w:b/>
          <w:bCs/>
        </w:rPr>
        <w:t xml:space="preserve">the funding. </w:t>
      </w:r>
    </w:p>
    <w:p w:rsidR="007741EE" w:rsidP="007741EE" w:rsidRDefault="007741EE" w14:paraId="64F64B66" w14:textId="77777777">
      <w:pPr>
        <w:spacing w:after="0" w:line="240" w:lineRule="auto"/>
        <w:jc w:val="both"/>
        <w:rPr>
          <w:b/>
          <w:bCs/>
        </w:rPr>
      </w:pPr>
    </w:p>
    <w:p w:rsidR="00E33ECC" w:rsidP="007741EE" w:rsidRDefault="009472FE" w14:paraId="4BE92F2C" w14:textId="3B14E335">
      <w:pPr>
        <w:spacing w:after="0" w:line="240" w:lineRule="auto"/>
        <w:jc w:val="both"/>
        <w:rPr>
          <w:b/>
          <w:bCs/>
        </w:rPr>
      </w:pPr>
      <w:r w:rsidRPr="009472FE">
        <w:rPr>
          <w:b/>
          <w:bCs/>
        </w:rPr>
        <w:t xml:space="preserve">For the purposes of debt recovery and fraud prevention there is the potential need to share </w:t>
      </w:r>
      <w:r>
        <w:rPr>
          <w:b/>
          <w:bCs/>
        </w:rPr>
        <w:t>your</w:t>
      </w:r>
      <w:r w:rsidRPr="009472FE">
        <w:rPr>
          <w:b/>
          <w:bCs/>
        </w:rPr>
        <w:t xml:space="preserve"> data with other government departments and private agencies</w:t>
      </w:r>
      <w:r>
        <w:rPr>
          <w:b/>
          <w:bCs/>
        </w:rPr>
        <w:t>.</w:t>
      </w:r>
      <w:r w:rsidRPr="009472FE">
        <w:rPr>
          <w:b/>
          <w:bCs/>
        </w:rPr>
        <w:t xml:space="preserve"> </w:t>
      </w:r>
    </w:p>
    <w:p w:rsidR="007741EE" w:rsidP="007741EE" w:rsidRDefault="007741EE" w14:paraId="68D6E5E2" w14:textId="777777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597E59" w:rsidR="005D39B1" w:rsidP="007741EE" w:rsidRDefault="00597E59" w14:paraId="1AF45BE9" w14:textId="4E1A7A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597E59">
        <w:rPr>
          <w:b/>
          <w:bCs/>
          <w:sz w:val="24"/>
          <w:szCs w:val="24"/>
        </w:rPr>
        <w:lastRenderedPageBreak/>
        <w:t>Appendix 1</w:t>
      </w:r>
    </w:p>
    <w:p w:rsidR="00597E59" w:rsidP="007741EE" w:rsidRDefault="00597E59" w14:paraId="7047950E" w14:textId="052E363F">
      <w:pPr>
        <w:spacing w:after="0" w:line="240" w:lineRule="auto"/>
        <w:jc w:val="both"/>
        <w:rPr>
          <w:b/>
          <w:bCs/>
        </w:rPr>
      </w:pPr>
    </w:p>
    <w:p w:rsidR="00597E59" w:rsidP="007741EE" w:rsidRDefault="00597E59" w14:paraId="5CF12601" w14:textId="6D9C0E98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What constitutes trading? </w:t>
      </w:r>
    </w:p>
    <w:p w:rsidR="007741EE" w:rsidP="007741EE" w:rsidRDefault="007741EE" w14:paraId="16E8CAC4" w14:textId="77777777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7E59" w:rsidP="007741EE" w:rsidRDefault="00597E59" w14:paraId="2A4BD9AB" w14:textId="116A3155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the purposes of </w:t>
      </w:r>
      <w:r w:rsidR="00A718BC"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z w:val="20"/>
          <w:szCs w:val="20"/>
        </w:rPr>
        <w:t xml:space="preserve"> scheme, a business is considered to be trading if it is engaged in business activity. This should be interpreted as carrying on a trade or profession, or buying and selling goods or services in order to generate turnover. Fully constituted businesses in liquidation, dissolved, struck off or subject to a striking-off notice are not eligible under these conditions. </w:t>
      </w:r>
    </w:p>
    <w:p w:rsidR="007741EE" w:rsidP="007741EE" w:rsidRDefault="007741EE" w14:paraId="4B3FE3A3" w14:textId="77777777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7E59" w:rsidP="007741EE" w:rsidRDefault="00597E59" w14:paraId="3AEA3EC7" w14:textId="3B7788F9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help further, some trading indicators are included below that can help assess what can be defined as trading for the purposes of th</w:t>
      </w:r>
      <w:r w:rsidR="00A718BC">
        <w:rPr>
          <w:rFonts w:ascii="Arial" w:hAnsi="Arial" w:cs="Arial"/>
          <w:color w:val="000000"/>
          <w:sz w:val="20"/>
          <w:szCs w:val="20"/>
        </w:rPr>
        <w:t xml:space="preserve">is </w:t>
      </w:r>
      <w:r>
        <w:rPr>
          <w:rFonts w:ascii="Arial" w:hAnsi="Arial" w:cs="Arial"/>
          <w:color w:val="000000"/>
          <w:sz w:val="20"/>
          <w:szCs w:val="20"/>
        </w:rPr>
        <w:t xml:space="preserve">scheme. Indicators that a business is trading are: </w:t>
      </w:r>
    </w:p>
    <w:p w:rsidR="007741EE" w:rsidP="007741EE" w:rsidRDefault="007741EE" w14:paraId="1D346D24" w14:textId="77777777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7E59" w:rsidP="007741EE" w:rsidRDefault="00597E59" w14:paraId="58399199" w14:textId="7777777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7E59">
        <w:rPr>
          <w:rFonts w:ascii="Arial" w:hAnsi="Arial" w:cs="Arial"/>
          <w:color w:val="000000"/>
          <w:sz w:val="20"/>
          <w:szCs w:val="20"/>
        </w:rPr>
        <w:t>The business continues to trade online, via click and collect services etc.</w:t>
      </w:r>
    </w:p>
    <w:p w:rsidR="00597E59" w:rsidP="007741EE" w:rsidRDefault="00597E59" w14:paraId="7A049572" w14:textId="6784443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7E59">
        <w:rPr>
          <w:rFonts w:ascii="Arial" w:hAnsi="Arial" w:cs="Arial"/>
          <w:color w:val="000000"/>
          <w:sz w:val="20"/>
          <w:szCs w:val="20"/>
        </w:rPr>
        <w:t xml:space="preserve">The business is not in liquidation, dissolved, struck off or subject to a striking-off notice or under notice. </w:t>
      </w:r>
    </w:p>
    <w:p w:rsidRPr="00597E59" w:rsidR="00597E59" w:rsidP="007741EE" w:rsidRDefault="00597E59" w14:paraId="5ECF4A9B" w14:textId="6926367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7E59">
        <w:rPr>
          <w:rFonts w:ascii="Arial" w:hAnsi="Arial" w:cs="Arial"/>
          <w:color w:val="000000"/>
          <w:sz w:val="20"/>
          <w:szCs w:val="20"/>
        </w:rPr>
        <w:t xml:space="preserve">The business is engaged in business activity; managing accounts, preparing for reopening, planning and implementing COVID-safe measures. </w:t>
      </w:r>
    </w:p>
    <w:p w:rsidRPr="00597E59" w:rsidR="00597E59" w:rsidP="007741EE" w:rsidRDefault="00597E59" w14:paraId="483CEC63" w14:textId="77777777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7E59" w:rsidP="007741EE" w:rsidRDefault="00597E59" w14:paraId="052F42F6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7E59" w:rsidP="007741EE" w:rsidRDefault="00597E59" w14:paraId="58E3C19D" w14:textId="77777777">
      <w:pPr>
        <w:spacing w:after="0" w:line="240" w:lineRule="auto"/>
        <w:jc w:val="both"/>
        <w:rPr>
          <w:b/>
          <w:bCs/>
        </w:rPr>
      </w:pPr>
    </w:p>
    <w:p w:rsidRPr="005D39B1" w:rsidR="00B12CBF" w:rsidP="007741EE" w:rsidRDefault="00B12CBF" w14:paraId="6C3FF781" w14:textId="77777777">
      <w:pPr>
        <w:spacing w:after="0" w:line="240" w:lineRule="auto"/>
        <w:jc w:val="both"/>
        <w:rPr>
          <w:b/>
          <w:bCs/>
          <w:smallCaps/>
          <w:sz w:val="44"/>
          <w:szCs w:val="44"/>
        </w:rPr>
      </w:pPr>
    </w:p>
    <w:sectPr w:rsidRPr="005D39B1" w:rsidR="00B12CBF" w:rsidSect="007741E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6B22" w:rsidP="00506B22" w:rsidRDefault="00506B22" w14:paraId="2388CA40" w14:textId="77777777">
      <w:pPr>
        <w:spacing w:after="0" w:line="240" w:lineRule="auto"/>
      </w:pPr>
      <w:r>
        <w:separator/>
      </w:r>
    </w:p>
  </w:endnote>
  <w:endnote w:type="continuationSeparator" w:id="0">
    <w:p w:rsidR="00506B22" w:rsidP="00506B22" w:rsidRDefault="00506B22" w14:paraId="492630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6B22" w:rsidP="00506B22" w:rsidRDefault="00506B22" w14:paraId="10A90043" w14:textId="77777777">
      <w:pPr>
        <w:spacing w:after="0" w:line="240" w:lineRule="auto"/>
      </w:pPr>
      <w:r>
        <w:separator/>
      </w:r>
    </w:p>
  </w:footnote>
  <w:footnote w:type="continuationSeparator" w:id="0">
    <w:p w:rsidR="00506B22" w:rsidP="00506B22" w:rsidRDefault="00506B22" w14:paraId="35F8DB9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E3E15D"/>
    <w:multiLevelType w:val="hybridMultilevel"/>
    <w:tmpl w:val="A8C9029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F80BB4"/>
    <w:multiLevelType w:val="hybridMultilevel"/>
    <w:tmpl w:val="34504F06"/>
    <w:lvl w:ilvl="0" w:tplc="B1EAD1D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88C"/>
    <w:multiLevelType w:val="hybridMultilevel"/>
    <w:tmpl w:val="D2FA57DA"/>
    <w:lvl w:ilvl="0" w:tplc="3D4E34D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752109"/>
    <w:multiLevelType w:val="hybridMultilevel"/>
    <w:tmpl w:val="28C21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37BC0"/>
    <w:multiLevelType w:val="hybridMultilevel"/>
    <w:tmpl w:val="AE6E4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5B0F41"/>
    <w:multiLevelType w:val="hybridMultilevel"/>
    <w:tmpl w:val="28AE0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583AD7"/>
    <w:multiLevelType w:val="hybridMultilevel"/>
    <w:tmpl w:val="EE663D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E60DA8"/>
    <w:multiLevelType w:val="hybridMultilevel"/>
    <w:tmpl w:val="19006E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146EE5"/>
    <w:multiLevelType w:val="hybridMultilevel"/>
    <w:tmpl w:val="0D82B584"/>
    <w:lvl w:ilvl="0" w:tplc="24E4A2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1"/>
    <w:rsid w:val="000100B9"/>
    <w:rsid w:val="000B2661"/>
    <w:rsid w:val="000F3767"/>
    <w:rsid w:val="0015528F"/>
    <w:rsid w:val="00185C09"/>
    <w:rsid w:val="001936EB"/>
    <w:rsid w:val="001D7AEF"/>
    <w:rsid w:val="002F5232"/>
    <w:rsid w:val="00355310"/>
    <w:rsid w:val="00381AF2"/>
    <w:rsid w:val="00395390"/>
    <w:rsid w:val="003E6D2D"/>
    <w:rsid w:val="003F5943"/>
    <w:rsid w:val="0048561C"/>
    <w:rsid w:val="004E0086"/>
    <w:rsid w:val="00506B22"/>
    <w:rsid w:val="00543935"/>
    <w:rsid w:val="005559D1"/>
    <w:rsid w:val="00596D12"/>
    <w:rsid w:val="00597E59"/>
    <w:rsid w:val="005C0A80"/>
    <w:rsid w:val="005D39B1"/>
    <w:rsid w:val="005F7127"/>
    <w:rsid w:val="00646D1A"/>
    <w:rsid w:val="00742909"/>
    <w:rsid w:val="007741EE"/>
    <w:rsid w:val="0077581E"/>
    <w:rsid w:val="008431D9"/>
    <w:rsid w:val="00875291"/>
    <w:rsid w:val="00896507"/>
    <w:rsid w:val="009472FE"/>
    <w:rsid w:val="009763AF"/>
    <w:rsid w:val="009F319E"/>
    <w:rsid w:val="00A718BC"/>
    <w:rsid w:val="00AE141F"/>
    <w:rsid w:val="00AE20A2"/>
    <w:rsid w:val="00AF748C"/>
    <w:rsid w:val="00B12CBF"/>
    <w:rsid w:val="00B36BE4"/>
    <w:rsid w:val="00BC43A2"/>
    <w:rsid w:val="00BD6577"/>
    <w:rsid w:val="00C14979"/>
    <w:rsid w:val="00C37686"/>
    <w:rsid w:val="00C45C75"/>
    <w:rsid w:val="00CC79EF"/>
    <w:rsid w:val="00DD6DF8"/>
    <w:rsid w:val="00DD7E47"/>
    <w:rsid w:val="00DE63E4"/>
    <w:rsid w:val="00E33ECC"/>
    <w:rsid w:val="00E45A18"/>
    <w:rsid w:val="00E7139D"/>
    <w:rsid w:val="00E75605"/>
    <w:rsid w:val="00EB0E1E"/>
    <w:rsid w:val="00EC1575"/>
    <w:rsid w:val="00ED48DC"/>
    <w:rsid w:val="00F24A96"/>
    <w:rsid w:val="00F27763"/>
    <w:rsid w:val="00FA742F"/>
    <w:rsid w:val="00FF748A"/>
    <w:rsid w:val="32E2B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61619FA"/>
  <w15:chartTrackingRefBased/>
  <w15:docId w15:val="{52A377C9-1714-4268-BD0D-BB6EF08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79E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52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29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5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52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fb24bff4e50a400e" Type="http://schemas.openxmlformats.org/officeDocument/2006/relationships/hyperlink" Target="https://www.gov.uk/guidance/check-if-youre-eligible-for-the-omicron-hospitality-and-leisure-gra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dev@iow.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350EB0BD5EF428C8A749A74104D51" ma:contentTypeVersion="13" ma:contentTypeDescription="Create a new document." ma:contentTypeScope="" ma:versionID="0006cdeaf34371a2d4a9740bd2de9496">
  <xsd:schema xmlns:xsd="http://www.w3.org/2001/XMLSchema" xmlns:xs="http://www.w3.org/2001/XMLSchema" xmlns:p="http://schemas.microsoft.com/office/2006/metadata/properties" xmlns:ns2="17f0aff5-f1d2-4fca-8ab0-c24c31d51c3d" xmlns:ns3="d72e4f5c-5685-4d17-8c1d-cad4b0193147" targetNamespace="http://schemas.microsoft.com/office/2006/metadata/properties" ma:root="true" ma:fieldsID="66cb2ea3afb4cd592bf120a2f93dee50" ns2:_="" ns3:_="">
    <xsd:import namespace="17f0aff5-f1d2-4fca-8ab0-c24c31d51c3d"/>
    <xsd:import namespace="d72e4f5c-5685-4d17-8c1d-cad4b0193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aff5-f1d2-4fca-8ab0-c24c31d51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4f5c-5685-4d17-8c1d-cad4b0193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8B9AE-1742-4481-AB40-AF8576A6C8D3}"/>
</file>

<file path=customXml/itemProps2.xml><?xml version="1.0" encoding="utf-8"?>
<ds:datastoreItem xmlns:ds="http://schemas.openxmlformats.org/officeDocument/2006/customXml" ds:itemID="{ADE03E02-3A81-4832-A5E3-4741778BAB6D}"/>
</file>

<file path=customXml/itemProps3.xml><?xml version="1.0" encoding="utf-8"?>
<ds:datastoreItem xmlns:ds="http://schemas.openxmlformats.org/officeDocument/2006/customXml" ds:itemID="{BF8AF7C4-4D56-4C4B-B23C-34E615E0C3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Brammall, Chris</dc:creator>
  <cp:keywords/>
  <dc:description/>
  <cp:lastModifiedBy>Chatfield, Matthew</cp:lastModifiedBy>
  <cp:revision>6</cp:revision>
  <dcterms:created xsi:type="dcterms:W3CDTF">2022-01-06T14:41:00Z</dcterms:created>
  <dcterms:modified xsi:type="dcterms:W3CDTF">2022-01-21T14:39:31Z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0x010100BDB350EB0BD5EF428C8A749A74104D51</vt:lpwstr>
  </property>
</Properties>
</file>