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Content>
        <w:p w14:paraId="269EF047" w14:textId="79D748B4" w:rsidR="003B7B1F" w:rsidRDefault="003B7B1F">
          <w:r>
            <w:rPr>
              <w:noProof/>
            </w:rPr>
            <w:drawing>
              <wp:inline distT="0" distB="0" distL="0" distR="0" wp14:anchorId="530D2C4F" wp14:editId="40952B3D">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tbl>
          <w:tblPr>
            <w:tblpPr w:leftFromText="187" w:rightFromText="187" w:vertAnchor="page" w:horzAnchor="margin" w:tblpXSpec="center" w:tblpY="6079"/>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3B7B1F" w14:paraId="259E1AE9" w14:textId="77777777" w:rsidTr="00FD7F1F">
            <w:sdt>
              <w:sdtPr>
                <w:rPr>
                  <w:rFonts w:ascii="Arial" w:hAnsi="Arial" w:cs="Arial"/>
                  <w:b/>
                  <w:bCs/>
                  <w:color w:val="004D95"/>
                  <w:sz w:val="44"/>
                  <w:szCs w:val="44"/>
                </w:rPr>
                <w:alias w:val="Company"/>
                <w:id w:val="13406915"/>
                <w:placeholder>
                  <w:docPart w:val="8115D33966C14289B54271EA0457E8E6"/>
                </w:placeholder>
                <w:dataBinding w:prefixMappings="xmlns:ns0='http://schemas.openxmlformats.org/officeDocument/2006/extended-properties'" w:xpath="/ns0:Properties[1]/ns0:Company[1]" w:storeItemID="{6668398D-A668-4E3E-A5EB-62B293D839F1}"/>
                <w:text/>
              </w:sdtPr>
              <w:sdtContent>
                <w:tc>
                  <w:tcPr>
                    <w:tcW w:w="7209" w:type="dxa"/>
                    <w:tcMar>
                      <w:top w:w="216" w:type="dxa"/>
                      <w:left w:w="115" w:type="dxa"/>
                      <w:bottom w:w="216" w:type="dxa"/>
                      <w:right w:w="115" w:type="dxa"/>
                    </w:tcMar>
                  </w:tcPr>
                  <w:p w14:paraId="3A7495A8" w14:textId="36B67ED3" w:rsidR="003B7B1F" w:rsidRPr="00AB3C9B" w:rsidRDefault="003B7B1F" w:rsidP="003B7B1F">
                    <w:pPr>
                      <w:pStyle w:val="NoSpacing"/>
                      <w:rPr>
                        <w:rFonts w:ascii="Arial" w:hAnsi="Arial" w:cs="Arial"/>
                        <w:b/>
                        <w:bCs/>
                        <w:color w:val="004D95"/>
                        <w:sz w:val="44"/>
                        <w:szCs w:val="44"/>
                      </w:rPr>
                    </w:pPr>
                    <w:r w:rsidRPr="00AB3C9B">
                      <w:rPr>
                        <w:rFonts w:ascii="Arial" w:hAnsi="Arial" w:cs="Arial"/>
                        <w:b/>
                        <w:bCs/>
                        <w:color w:val="004D95"/>
                        <w:sz w:val="44"/>
                        <w:szCs w:val="44"/>
                      </w:rPr>
                      <w:t>Isle of Wight Council</w:t>
                    </w:r>
                  </w:p>
                </w:tc>
              </w:sdtContent>
            </w:sdt>
          </w:tr>
          <w:tr w:rsidR="003B7B1F" w14:paraId="373CEEE1" w14:textId="77777777" w:rsidTr="00FD7F1F">
            <w:tc>
              <w:tcPr>
                <w:tcW w:w="7209" w:type="dxa"/>
              </w:tcPr>
              <w:sdt>
                <w:sdtPr>
                  <w:rPr>
                    <w:rFonts w:ascii="Arial" w:eastAsiaTheme="majorEastAsia" w:hAnsi="Arial" w:cs="Arial"/>
                    <w:b/>
                    <w:bCs/>
                    <w:color w:val="004D95"/>
                    <w:sz w:val="72"/>
                    <w:szCs w:val="72"/>
                  </w:rPr>
                  <w:alias w:val="Title"/>
                  <w:id w:val="13406919"/>
                  <w:placeholder>
                    <w:docPart w:val="96EFC37433244C8D804554D4F936D13D"/>
                  </w:placeholder>
                  <w:dataBinding w:prefixMappings="xmlns:ns0='http://schemas.openxmlformats.org/package/2006/metadata/core-properties' xmlns:ns1='http://purl.org/dc/elements/1.1/'" w:xpath="/ns0:coreProperties[1]/ns1:title[1]" w:storeItemID="{6C3C8BC8-F283-45AE-878A-BAB7291924A1}"/>
                  <w:text/>
                </w:sdtPr>
                <w:sdtContent>
                  <w:p w14:paraId="3D7B1E0F" w14:textId="0211604E" w:rsidR="003B7B1F" w:rsidRPr="00AB3C9B" w:rsidRDefault="006579D7" w:rsidP="003B7B1F">
                    <w:pPr>
                      <w:pStyle w:val="NoSpacing"/>
                      <w:spacing w:line="216" w:lineRule="auto"/>
                      <w:rPr>
                        <w:rFonts w:ascii="Arial" w:eastAsiaTheme="majorEastAsia" w:hAnsi="Arial" w:cs="Arial"/>
                        <w:b/>
                        <w:bCs/>
                        <w:color w:val="004D95"/>
                        <w:sz w:val="72"/>
                        <w:szCs w:val="72"/>
                      </w:rPr>
                    </w:pPr>
                    <w:r>
                      <w:rPr>
                        <w:rFonts w:ascii="Arial" w:eastAsiaTheme="majorEastAsia" w:hAnsi="Arial" w:cs="Arial"/>
                        <w:b/>
                        <w:bCs/>
                        <w:color w:val="004D95"/>
                        <w:sz w:val="72"/>
                        <w:szCs w:val="72"/>
                      </w:rPr>
                      <w:t>Unilateral Undertakings – Standard Nitrates Wording</w:t>
                    </w:r>
                  </w:p>
                </w:sdtContent>
              </w:sdt>
            </w:tc>
          </w:tr>
        </w:tbl>
        <w:p w14:paraId="3500ACFD" w14:textId="77777777" w:rsidR="003B7B1F" w:rsidRDefault="003B7B1F">
          <w:r>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D60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p w14:paraId="5AF5B2E7" w14:textId="77777777" w:rsidR="003B7B1F" w:rsidRDefault="003B7B1F"/>
        <w:p w14:paraId="686DC8D0" w14:textId="56BDBF88" w:rsidR="00E224B8" w:rsidRDefault="00000000"/>
      </w:sdtContent>
    </w:sdt>
    <w:p w14:paraId="4B5035B0" w14:textId="366C00F7" w:rsidR="00FD7F1F" w:rsidRPr="00E224B8" w:rsidRDefault="00FD7F1F">
      <w:pPr>
        <w:rPr>
          <w:b/>
          <w:sz w:val="28"/>
        </w:rPr>
      </w:pPr>
      <w:r>
        <w:br w:type="page"/>
      </w:r>
    </w:p>
    <w:p w14:paraId="4AAFF625" w14:textId="77777777" w:rsidR="00A10267" w:rsidRDefault="00A10267" w:rsidP="00A10267">
      <w:pPr>
        <w:jc w:val="both"/>
        <w:rPr>
          <w:rFonts w:cs="Arial"/>
          <w:b/>
          <w:bCs/>
          <w:sz w:val="22"/>
        </w:rPr>
      </w:pPr>
      <w:bookmarkStart w:id="0" w:name="LastEdit"/>
      <w:bookmarkEnd w:id="0"/>
      <w:r>
        <w:rPr>
          <w:rFonts w:cs="Arial"/>
          <w:b/>
          <w:bCs/>
        </w:rPr>
        <w:lastRenderedPageBreak/>
        <w:t>UNILATERAL UNDERTAKINGS – STANDARD NITRATES WORDING</w:t>
      </w:r>
    </w:p>
    <w:p w14:paraId="30F0DC30" w14:textId="77777777" w:rsidR="00A10267" w:rsidRDefault="00A10267" w:rsidP="00A10267">
      <w:pPr>
        <w:jc w:val="both"/>
        <w:rPr>
          <w:rFonts w:cs="Arial"/>
          <w:u w:val="single"/>
        </w:rPr>
      </w:pPr>
      <w:r>
        <w:rPr>
          <w:rFonts w:cs="Arial"/>
          <w:u w:val="single"/>
        </w:rPr>
        <w:t>Standard Unilateral Undertaking Recital 4 amended to read:</w:t>
      </w:r>
    </w:p>
    <w:p w14:paraId="3090247A" w14:textId="3E601B1A" w:rsidR="00A10267" w:rsidRDefault="00A10267" w:rsidP="00A10267">
      <w:pPr>
        <w:jc w:val="both"/>
        <w:rPr>
          <w:rFonts w:cs="Arial"/>
        </w:rPr>
      </w:pPr>
      <w:r>
        <w:rPr>
          <w:rFonts w:cs="Arial"/>
        </w:rPr>
        <w:t>The Council has not determined the Planning Application and the Owner enters into the obligation to the intent that any objections by the Council to the grant of planning permission by virtue of the Solent Recreation Mitigation Strategy* and the Council’s Supplementary Planning Document on Affordable Housing Contributions (adopted March 2017)** and Nitrogen Neutrality within Solent International Sites are overcome</w:t>
      </w:r>
      <w:r>
        <w:rPr>
          <w:rFonts w:cs="Arial"/>
        </w:rPr>
        <w:t xml:space="preserve"> </w:t>
      </w:r>
      <w:r>
        <w:rPr>
          <w:rFonts w:cs="Arial"/>
        </w:rPr>
        <w:t>(items * and ** may not be relevant to every planning application but are included for demonstration purposes of how a revised recital within a UU may read)</w:t>
      </w:r>
    </w:p>
    <w:p w14:paraId="780CC428" w14:textId="77777777" w:rsidR="00A10267" w:rsidRDefault="00A10267" w:rsidP="00A10267">
      <w:pPr>
        <w:jc w:val="both"/>
        <w:rPr>
          <w:rFonts w:cs="Arial"/>
          <w:u w:val="single"/>
        </w:rPr>
      </w:pPr>
      <w:r>
        <w:rPr>
          <w:rFonts w:cs="Arial"/>
          <w:u w:val="single"/>
        </w:rPr>
        <w:t>New definitions</w:t>
      </w:r>
    </w:p>
    <w:p w14:paraId="2ABA07DC" w14:textId="77777777" w:rsidR="00A10267" w:rsidRDefault="00A10267" w:rsidP="00A10267">
      <w:pPr>
        <w:jc w:val="both"/>
        <w:rPr>
          <w:rFonts w:cs="Arial"/>
        </w:rPr>
      </w:pPr>
      <w:r>
        <w:rPr>
          <w:rFonts w:cs="Arial"/>
        </w:rPr>
        <w:t>‘Nitrate Credit Purchase’ – the completion of a purchase of credits from a third party within the same water body catchment as the Planning Application</w:t>
      </w:r>
    </w:p>
    <w:p w14:paraId="61BC7148" w14:textId="77777777" w:rsidR="00A10267" w:rsidRDefault="00A10267" w:rsidP="00A10267">
      <w:pPr>
        <w:jc w:val="both"/>
        <w:rPr>
          <w:rFonts w:cs="Arial"/>
        </w:rPr>
      </w:pPr>
      <w:r>
        <w:rPr>
          <w:rFonts w:cs="Arial"/>
        </w:rPr>
        <w:t>‘Nitrogen Neutrality’ - development that results in a net increase in housing demonstrating that it would not result in a net increase in nitrates within the Solent International Sites</w:t>
      </w:r>
    </w:p>
    <w:p w14:paraId="21A78970" w14:textId="77777777" w:rsidR="00A10267" w:rsidRDefault="00A10267" w:rsidP="00A10267">
      <w:pPr>
        <w:jc w:val="both"/>
        <w:rPr>
          <w:rFonts w:cs="Arial"/>
        </w:rPr>
      </w:pPr>
      <w:r>
        <w:rPr>
          <w:rFonts w:cs="Arial"/>
        </w:rPr>
        <w:t xml:space="preserve">‘Solent International Sites’ – One or more of Solent Maritime SAC, </w:t>
      </w:r>
      <w:proofErr w:type="gramStart"/>
      <w:r>
        <w:rPr>
          <w:rFonts w:cs="Arial"/>
        </w:rPr>
        <w:t>Solent</w:t>
      </w:r>
      <w:proofErr w:type="gramEnd"/>
      <w:r>
        <w:rPr>
          <w:rFonts w:cs="Arial"/>
        </w:rPr>
        <w:t xml:space="preserve"> and Southampton Water SPA and Ramsar, Portsmouth Harbour SPA and Ramsar, Chichester and Langstone Harbours SPA and Ramsar </w:t>
      </w:r>
    </w:p>
    <w:p w14:paraId="2C86EFE6" w14:textId="77777777" w:rsidR="00A10267" w:rsidRDefault="00A10267" w:rsidP="00A10267">
      <w:pPr>
        <w:jc w:val="both"/>
        <w:rPr>
          <w:rFonts w:cs="Arial"/>
          <w:u w:val="single"/>
        </w:rPr>
      </w:pPr>
      <w:r>
        <w:rPr>
          <w:rFonts w:cs="Arial"/>
          <w:u w:val="single"/>
        </w:rPr>
        <w:t>New Clause/Schedule</w:t>
      </w:r>
    </w:p>
    <w:p w14:paraId="67272351" w14:textId="77777777" w:rsidR="00A10267" w:rsidRDefault="00A10267" w:rsidP="00A10267">
      <w:pPr>
        <w:jc w:val="both"/>
        <w:rPr>
          <w:rFonts w:cs="Arial"/>
        </w:rPr>
      </w:pPr>
      <w:r>
        <w:rPr>
          <w:rFonts w:cs="Arial"/>
        </w:rPr>
        <w:t>The Owner covenants with the Council: Prior to the commencement of development to provide written evidence to the Local Planning Authority of Nitrate Credit Purchase, with the Nitrate Credit Purchase totalling xx credits to mitigate xx kg TN/year (total annual nitrogen produced by the development which is the subject of the Planning Application)</w:t>
      </w:r>
    </w:p>
    <w:p w14:paraId="18D968E0" w14:textId="3324E3B2" w:rsidR="00FD7F1F" w:rsidRPr="00E224B8" w:rsidRDefault="00FD7F1F" w:rsidP="00E224B8"/>
    <w:sectPr w:rsidR="00FD7F1F" w:rsidRPr="00E224B8" w:rsidSect="003B7B1F">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064B" w14:textId="77777777" w:rsidR="00832E7D" w:rsidRDefault="00832E7D" w:rsidP="003B7B1F">
      <w:pPr>
        <w:spacing w:after="0" w:line="240" w:lineRule="auto"/>
      </w:pPr>
      <w:r>
        <w:separator/>
      </w:r>
    </w:p>
  </w:endnote>
  <w:endnote w:type="continuationSeparator" w:id="0">
    <w:p w14:paraId="5732A190" w14:textId="77777777" w:rsidR="00832E7D" w:rsidRDefault="00832E7D"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20E648D7" w:rsidR="003B7B1F" w:rsidRPr="003B7B1F" w:rsidRDefault="00A10267" w:rsidP="006579D7">
    <w:pPr>
      <w:tabs>
        <w:tab w:val="center" w:pos="4153"/>
        <w:tab w:val="right" w:pos="8306"/>
      </w:tabs>
      <w:spacing w:after="0" w:line="240" w:lineRule="auto"/>
      <w:ind w:left="720"/>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 xml:space="preserve">Unilateral Undertakings </w:t>
    </w:r>
    <w:r w:rsidR="006579D7">
      <w:rPr>
        <w:rFonts w:eastAsia="Times New Roman" w:cs="Times New Roman"/>
        <w:kern w:val="0"/>
        <w:szCs w:val="24"/>
        <w:lang w:eastAsia="en-GB"/>
        <w14:ligatures w14:val="none"/>
      </w:rPr>
      <w:t>– Standard Nitrates Wording</w:t>
    </w:r>
    <w:r w:rsidR="006579D7">
      <w:rPr>
        <w:rFonts w:eastAsia="Times New Roman" w:cs="Times New Roman"/>
        <w:kern w:val="0"/>
        <w:szCs w:val="24"/>
        <w:lang w:eastAsia="en-GB"/>
        <w14:ligatures w14:val="none"/>
      </w:rPr>
      <w:tab/>
      <w:t>Page 1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042" w14:textId="7D257304" w:rsidR="003B7B1F" w:rsidRDefault="003B7B1F" w:rsidP="003B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47C9" w14:textId="77777777" w:rsidR="00832E7D" w:rsidRDefault="00832E7D" w:rsidP="003B7B1F">
      <w:pPr>
        <w:spacing w:after="0" w:line="240" w:lineRule="auto"/>
      </w:pPr>
      <w:r>
        <w:separator/>
      </w:r>
    </w:p>
  </w:footnote>
  <w:footnote w:type="continuationSeparator" w:id="0">
    <w:p w14:paraId="1B92791D" w14:textId="77777777" w:rsidR="00832E7D" w:rsidRDefault="00832E7D"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44053"/>
    <w:multiLevelType w:val="multilevel"/>
    <w:tmpl w:val="0D4A4A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576209">
    <w:abstractNumId w:val="3"/>
  </w:num>
  <w:num w:numId="2" w16cid:durableId="703870294">
    <w:abstractNumId w:val="1"/>
  </w:num>
  <w:num w:numId="3" w16cid:durableId="10958771">
    <w:abstractNumId w:val="0"/>
  </w:num>
  <w:num w:numId="4" w16cid:durableId="17721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1871CB"/>
    <w:rsid w:val="00326BC3"/>
    <w:rsid w:val="00350937"/>
    <w:rsid w:val="003B7B1F"/>
    <w:rsid w:val="004C33E2"/>
    <w:rsid w:val="005D24C5"/>
    <w:rsid w:val="006579D7"/>
    <w:rsid w:val="007978E0"/>
    <w:rsid w:val="00832E7D"/>
    <w:rsid w:val="00A10267"/>
    <w:rsid w:val="00A72C18"/>
    <w:rsid w:val="00A73ED0"/>
    <w:rsid w:val="00AB3C9B"/>
    <w:rsid w:val="00C261E8"/>
    <w:rsid w:val="00E224B8"/>
    <w:rsid w:val="00E302F7"/>
    <w:rsid w:val="00E33C63"/>
    <w:rsid w:val="00ED56D5"/>
    <w:rsid w:val="00F55C11"/>
    <w:rsid w:val="00FD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F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40799">
      <w:bodyDiv w:val="1"/>
      <w:marLeft w:val="0"/>
      <w:marRight w:val="0"/>
      <w:marTop w:val="0"/>
      <w:marBottom w:val="0"/>
      <w:divBdr>
        <w:top w:val="none" w:sz="0" w:space="0" w:color="auto"/>
        <w:left w:val="none" w:sz="0" w:space="0" w:color="auto"/>
        <w:bottom w:val="none" w:sz="0" w:space="0" w:color="auto"/>
        <w:right w:val="none" w:sz="0" w:space="0" w:color="auto"/>
      </w:divBdr>
    </w:div>
    <w:div w:id="18314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5D33966C14289B54271EA0457E8E6"/>
        <w:category>
          <w:name w:val="General"/>
          <w:gallery w:val="placeholder"/>
        </w:category>
        <w:types>
          <w:type w:val="bbPlcHdr"/>
        </w:types>
        <w:behaviors>
          <w:behavior w:val="content"/>
        </w:behaviors>
        <w:guid w:val="{314E1CAE-93C7-4F0F-8E53-68DD4F44AC5F}"/>
      </w:docPartPr>
      <w:docPartBody>
        <w:p w:rsidR="0029500D" w:rsidRDefault="0029500D" w:rsidP="0029500D">
          <w:pPr>
            <w:pStyle w:val="8115D33966C14289B54271EA0457E8E6"/>
          </w:pPr>
          <w:r>
            <w:rPr>
              <w:color w:val="2F5496" w:themeColor="accent1" w:themeShade="BF"/>
              <w:sz w:val="24"/>
              <w:szCs w:val="24"/>
            </w:rPr>
            <w:t>[Company name]</w:t>
          </w:r>
        </w:p>
      </w:docPartBody>
    </w:docPart>
    <w:docPart>
      <w:docPartPr>
        <w:name w:val="96EFC37433244C8D804554D4F936D13D"/>
        <w:category>
          <w:name w:val="General"/>
          <w:gallery w:val="placeholder"/>
        </w:category>
        <w:types>
          <w:type w:val="bbPlcHdr"/>
        </w:types>
        <w:behaviors>
          <w:behavior w:val="content"/>
        </w:behaviors>
        <w:guid w:val="{A8F280DE-8219-4584-90B2-89058682F8C4}"/>
      </w:docPartPr>
      <w:docPartBody>
        <w:p w:rsidR="0029500D" w:rsidRDefault="0029500D" w:rsidP="0029500D">
          <w:pPr>
            <w:pStyle w:val="96EFC37433244C8D804554D4F936D13D"/>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D"/>
    <w:rsid w:val="0029500D"/>
    <w:rsid w:val="006C08A2"/>
    <w:rsid w:val="00BA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5D33966C14289B54271EA0457E8E6">
    <w:name w:val="8115D33966C14289B54271EA0457E8E6"/>
    <w:rsid w:val="0029500D"/>
  </w:style>
  <w:style w:type="paragraph" w:customStyle="1" w:styleId="96EFC37433244C8D804554D4F936D13D">
    <w:name w:val="96EFC37433244C8D804554D4F936D13D"/>
    <w:rsid w:val="0029500D"/>
  </w:style>
  <w:style w:type="paragraph" w:customStyle="1" w:styleId="6C6BF80DD17A4E76A9D7B6DB639EB36E">
    <w:name w:val="6C6BF80DD17A4E76A9D7B6DB639EB36E"/>
    <w:rsid w:val="0029500D"/>
  </w:style>
  <w:style w:type="paragraph" w:customStyle="1" w:styleId="34FA1BB16F4C488799147B24A932FE25">
    <w:name w:val="34FA1BB16F4C488799147B24A932FE25"/>
    <w:rsid w:val="00BA2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[POLICY TITLE]</vt:lpstr>
    </vt:vector>
  </TitlesOfParts>
  <Company>Isle of Wight Council</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Undertakings – Standard Nitrates Wording</dc:title>
  <dc:subject>[DATE PERIOD/E</dc:subject>
  <dc:creator>Aaron Wheeldon</dc:creator>
  <cp:keywords/>
  <dc:description/>
  <cp:lastModifiedBy>Andrews, Amanda</cp:lastModifiedBy>
  <cp:revision>2</cp:revision>
  <dcterms:created xsi:type="dcterms:W3CDTF">2024-11-12T11:36:00Z</dcterms:created>
  <dcterms:modified xsi:type="dcterms:W3CDTF">2024-11-12T11:36:00Z</dcterms:modified>
</cp:coreProperties>
</file>