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5246728"/>
        <w:docPartObj>
          <w:docPartGallery w:val="Cover Pages"/>
          <w:docPartUnique/>
        </w:docPartObj>
      </w:sdtPr>
      <w:sdtContent>
        <w:p w14:paraId="269EF047" w14:textId="79D748B4" w:rsidR="003B7B1F" w:rsidRDefault="003B7B1F">
          <w:r>
            <w:rPr>
              <w:noProof/>
            </w:rPr>
            <w:drawing>
              <wp:inline distT="0" distB="0" distL="0" distR="0" wp14:anchorId="530D2C4F" wp14:editId="0923601F">
                <wp:extent cx="2583712" cy="645863"/>
                <wp:effectExtent l="0" t="0" r="0" b="0"/>
                <wp:docPr id="2" name="Picture 2" descr="Isle of Wigh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sle of Wigh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101" cy="654709"/>
                        </a:xfrm>
                        <a:prstGeom prst="rect">
                          <a:avLst/>
                        </a:prstGeom>
                      </pic:spPr>
                    </pic:pic>
                  </a:graphicData>
                </a:graphic>
              </wp:inline>
            </w:drawing>
          </w:r>
        </w:p>
        <w:tbl>
          <w:tblPr>
            <w:tblpPr w:leftFromText="187" w:rightFromText="187" w:vertAnchor="page" w:horzAnchor="margin" w:tblpXSpec="center" w:tblpY="6079"/>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3B7B1F" w14:paraId="259E1AE9" w14:textId="77777777" w:rsidTr="00FD7F1F">
            <w:sdt>
              <w:sdtPr>
                <w:rPr>
                  <w:rFonts w:ascii="Arial" w:hAnsi="Arial" w:cs="Arial"/>
                  <w:b/>
                  <w:bCs/>
                  <w:color w:val="004D95"/>
                  <w:sz w:val="44"/>
                  <w:szCs w:val="44"/>
                </w:rPr>
                <w:alias w:val="Company"/>
                <w:id w:val="13406915"/>
                <w:placeholder>
                  <w:docPart w:val="8115D33966C14289B54271EA0457E8E6"/>
                </w:placeholder>
                <w:dataBinding w:prefixMappings="xmlns:ns0='http://schemas.openxmlformats.org/officeDocument/2006/extended-properties'" w:xpath="/ns0:Properties[1]/ns0:Company[1]" w:storeItemID="{6668398D-A668-4E3E-A5EB-62B293D839F1}"/>
                <w:text/>
              </w:sdtPr>
              <w:sdtContent>
                <w:tc>
                  <w:tcPr>
                    <w:tcW w:w="7209" w:type="dxa"/>
                    <w:tcMar>
                      <w:top w:w="216" w:type="dxa"/>
                      <w:left w:w="115" w:type="dxa"/>
                      <w:bottom w:w="216" w:type="dxa"/>
                      <w:right w:w="115" w:type="dxa"/>
                    </w:tcMar>
                  </w:tcPr>
                  <w:p w14:paraId="3A7495A8" w14:textId="36B67ED3" w:rsidR="003B7B1F" w:rsidRPr="00AB3C9B" w:rsidRDefault="003B7B1F" w:rsidP="003B7B1F">
                    <w:pPr>
                      <w:pStyle w:val="NoSpacing"/>
                      <w:rPr>
                        <w:rFonts w:ascii="Arial" w:hAnsi="Arial" w:cs="Arial"/>
                        <w:b/>
                        <w:bCs/>
                        <w:color w:val="004D95"/>
                        <w:sz w:val="44"/>
                        <w:szCs w:val="44"/>
                      </w:rPr>
                    </w:pPr>
                    <w:r w:rsidRPr="00AB3C9B">
                      <w:rPr>
                        <w:rFonts w:ascii="Arial" w:hAnsi="Arial" w:cs="Arial"/>
                        <w:b/>
                        <w:bCs/>
                        <w:color w:val="004D95"/>
                        <w:sz w:val="44"/>
                        <w:szCs w:val="44"/>
                      </w:rPr>
                      <w:t>Isle of Wight Council</w:t>
                    </w:r>
                  </w:p>
                </w:tc>
              </w:sdtContent>
            </w:sdt>
          </w:tr>
          <w:tr w:rsidR="003B7B1F" w14:paraId="373CEEE1" w14:textId="77777777" w:rsidTr="00FD7F1F">
            <w:tc>
              <w:tcPr>
                <w:tcW w:w="7209" w:type="dxa"/>
              </w:tcPr>
              <w:sdt>
                <w:sdtPr>
                  <w:rPr>
                    <w:rFonts w:ascii="Arial" w:eastAsiaTheme="majorEastAsia" w:hAnsi="Arial" w:cs="Arial"/>
                    <w:b/>
                    <w:bCs/>
                    <w:color w:val="004D95"/>
                    <w:sz w:val="72"/>
                    <w:szCs w:val="72"/>
                  </w:rPr>
                  <w:alias w:val="Title"/>
                  <w:id w:val="13406919"/>
                  <w:placeholder>
                    <w:docPart w:val="96EFC37433244C8D804554D4F936D13D"/>
                  </w:placeholder>
                  <w:dataBinding w:prefixMappings="xmlns:ns0='http://schemas.openxmlformats.org/package/2006/metadata/core-properties' xmlns:ns1='http://purl.org/dc/elements/1.1/'" w:xpath="/ns0:coreProperties[1]/ns1:title[1]" w:storeItemID="{6C3C8BC8-F283-45AE-878A-BAB7291924A1}"/>
                  <w:text/>
                </w:sdtPr>
                <w:sdtContent>
                  <w:p w14:paraId="3D7B1E0F" w14:textId="28B1E921" w:rsidR="003B7B1F" w:rsidRPr="00AB3C9B" w:rsidRDefault="00E224B8" w:rsidP="003B7B1F">
                    <w:pPr>
                      <w:pStyle w:val="NoSpacing"/>
                      <w:spacing w:line="216" w:lineRule="auto"/>
                      <w:rPr>
                        <w:rFonts w:ascii="Arial" w:eastAsiaTheme="majorEastAsia" w:hAnsi="Arial" w:cs="Arial"/>
                        <w:b/>
                        <w:bCs/>
                        <w:color w:val="004D95"/>
                        <w:sz w:val="72"/>
                        <w:szCs w:val="72"/>
                      </w:rPr>
                    </w:pPr>
                    <w:r>
                      <w:rPr>
                        <w:rFonts w:ascii="Arial" w:eastAsiaTheme="majorEastAsia" w:hAnsi="Arial" w:cs="Arial"/>
                        <w:b/>
                        <w:bCs/>
                        <w:color w:val="004D95"/>
                        <w:sz w:val="72"/>
                        <w:szCs w:val="72"/>
                      </w:rPr>
                      <w:t>Section 73 Clause</w:t>
                    </w:r>
                  </w:p>
                </w:sdtContent>
              </w:sdt>
            </w:tc>
          </w:tr>
        </w:tbl>
        <w:p w14:paraId="3500ACFD" w14:textId="77777777" w:rsidR="003B7B1F" w:rsidRDefault="003B7B1F">
          <w:r>
            <w:rPr>
              <w:noProof/>
            </w:rPr>
            <mc:AlternateContent>
              <mc:Choice Requires="wps">
                <w:drawing>
                  <wp:inline distT="0" distB="0" distL="0" distR="0" wp14:anchorId="6548CCE5" wp14:editId="262FD7F0">
                    <wp:extent cx="5731510" cy="16180"/>
                    <wp:effectExtent l="0" t="0" r="21590" b="22225"/>
                    <wp:docPr id="1"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6180"/>
                            </a:xfrm>
                            <a:prstGeom prst="line">
                              <a:avLst/>
                            </a:prstGeom>
                            <a:noFill/>
                            <a:ln w="12700">
                              <a:solidFill>
                                <a:srgbClr val="3366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23D605" id="Line 28"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51.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" strokecolor="#369" strokeweight="1pt">
                    <w10:anchorlock/>
                  </v:line>
                </w:pict>
              </mc:Fallback>
            </mc:AlternateContent>
          </w:r>
        </w:p>
        <w:p w14:paraId="6A8AE2A5" w14:textId="77777777" w:rsidR="003B7B1F" w:rsidRDefault="003B7B1F"/>
        <w:p w14:paraId="5AF5B2E7" w14:textId="77777777" w:rsidR="003B7B1F" w:rsidRDefault="003B7B1F"/>
        <w:p w14:paraId="686DC8D0" w14:textId="56BDBF88" w:rsidR="00E224B8" w:rsidRDefault="00000000"/>
      </w:sdtContent>
    </w:sdt>
    <w:p w14:paraId="4B5035B0" w14:textId="366C00F7" w:rsidR="00FD7F1F" w:rsidRPr="00E224B8" w:rsidRDefault="00FD7F1F">
      <w:pPr>
        <w:rPr>
          <w:b/>
          <w:sz w:val="28"/>
        </w:rPr>
      </w:pPr>
      <w:r>
        <w:br w:type="page"/>
      </w:r>
    </w:p>
    <w:p w14:paraId="394181EB" w14:textId="0E73D0A5" w:rsidR="00AB1193" w:rsidRPr="00AB1193" w:rsidRDefault="00AB1193" w:rsidP="00AB1193">
      <w:pPr>
        <w:rPr>
          <w:rFonts w:cs="Arial"/>
        </w:rPr>
      </w:pPr>
      <w:bookmarkStart w:id="0" w:name="LastEdit"/>
      <w:bookmarkEnd w:id="0"/>
      <w:r w:rsidRPr="00AB1193">
        <w:rPr>
          <w:rFonts w:cs="Arial"/>
          <w:b/>
          <w:bCs/>
        </w:rPr>
        <w:lastRenderedPageBreak/>
        <w:t>“Section 73 Consent”</w:t>
      </w:r>
      <w:r>
        <w:rPr>
          <w:rFonts w:cs="Arial"/>
        </w:rPr>
        <w:t xml:space="preserve"> </w:t>
      </w:r>
      <w:r w:rsidRPr="00AB1193">
        <w:rPr>
          <w:rFonts w:cs="Arial"/>
        </w:rPr>
        <w:t>a planning permission issued pursuant to an application to vary the Planning Permission made under section 73 of the TCPA 1990</w:t>
      </w:r>
      <w:r>
        <w:rPr>
          <w:rFonts w:cs="Arial"/>
        </w:rPr>
        <w:t>.</w:t>
      </w:r>
    </w:p>
    <w:p w14:paraId="2121F9FA" w14:textId="77777777" w:rsidR="00AB1193" w:rsidRPr="00AB1193" w:rsidRDefault="00AB1193" w:rsidP="00AB1193">
      <w:pPr>
        <w:rPr>
          <w:rFonts w:cs="Arial"/>
        </w:rPr>
      </w:pPr>
    </w:p>
    <w:p w14:paraId="2F7FAAFC" w14:textId="77777777" w:rsidR="00AB1193" w:rsidRPr="00AB1193" w:rsidRDefault="00AB1193" w:rsidP="00AB1193">
      <w:pPr>
        <w:rPr>
          <w:rFonts w:cs="Arial"/>
          <w:b/>
          <w:bCs/>
        </w:rPr>
      </w:pPr>
      <w:r w:rsidRPr="00AB1193">
        <w:rPr>
          <w:rFonts w:cs="Arial"/>
          <w:b/>
          <w:bCs/>
        </w:rPr>
        <w:t>1.</w:t>
      </w:r>
      <w:r w:rsidRPr="00AB1193">
        <w:rPr>
          <w:rFonts w:cs="Arial"/>
          <w:b/>
          <w:bCs/>
        </w:rPr>
        <w:tab/>
        <w:t>Section 73 Consent</w:t>
      </w:r>
    </w:p>
    <w:p w14:paraId="4FCF641B" w14:textId="111C6FA1" w:rsidR="00AB1193" w:rsidRPr="00AB1193" w:rsidRDefault="00AB1193" w:rsidP="00AB1193">
      <w:pPr>
        <w:rPr>
          <w:rFonts w:cs="Arial"/>
        </w:rPr>
      </w:pPr>
      <w:r w:rsidRPr="00AB1193">
        <w:rPr>
          <w:rFonts w:cs="Arial"/>
        </w:rPr>
        <w:t>1.1.</w:t>
      </w:r>
      <w:r w:rsidRPr="00AB1193">
        <w:rPr>
          <w:rFonts w:cs="Arial"/>
        </w:rPr>
        <w:tab/>
        <w:t xml:space="preserve">Unless otherwise required by the Council if a Section 73 Consent is granted by </w:t>
      </w:r>
      <w:r w:rsidRPr="00AB1193">
        <w:rPr>
          <w:rFonts w:cs="Arial"/>
        </w:rPr>
        <w:t>the Council</w:t>
      </w:r>
      <w:r w:rsidRPr="00AB1193">
        <w:rPr>
          <w:rFonts w:cs="Arial"/>
        </w:rPr>
        <w:t xml:space="preserve"> or otherwise on appeal in relation to a variation of conditions to the Development, then with effect from the date each Section 73 Consent is granted:</w:t>
      </w:r>
    </w:p>
    <w:p w14:paraId="6240427D" w14:textId="24EA64A8" w:rsidR="00AB1193" w:rsidRPr="00AB1193" w:rsidRDefault="00AB1193" w:rsidP="00AB1193">
      <w:pPr>
        <w:rPr>
          <w:rFonts w:cs="Arial"/>
        </w:rPr>
      </w:pPr>
      <w:r w:rsidRPr="00AB1193">
        <w:rPr>
          <w:rFonts w:cs="Arial"/>
        </w:rPr>
        <w:t>1.1.1.</w:t>
      </w:r>
      <w:r w:rsidRPr="00AB1193">
        <w:rPr>
          <w:rFonts w:cs="Arial"/>
        </w:rPr>
        <w:tab/>
        <w:t xml:space="preserve">The Obligations in this Agreement shall (in addition to continuing to bind the Site in respect of the Planning Permission) relate to and bind all subsequent Section 73 Consents and the Property itself without any further act by the </w:t>
      </w:r>
      <w:r w:rsidRPr="00AB1193">
        <w:rPr>
          <w:rFonts w:cs="Arial"/>
        </w:rPr>
        <w:t>parties.</w:t>
      </w:r>
    </w:p>
    <w:p w14:paraId="564397B7" w14:textId="77777777" w:rsidR="00AB1193" w:rsidRPr="00AB1193" w:rsidRDefault="00AB1193" w:rsidP="00AB1193">
      <w:pPr>
        <w:rPr>
          <w:rFonts w:cs="Arial"/>
        </w:rPr>
      </w:pPr>
      <w:r w:rsidRPr="00AB1193">
        <w:rPr>
          <w:rFonts w:cs="Arial"/>
        </w:rPr>
        <w:t>1.1.2.</w:t>
      </w:r>
      <w:r w:rsidRPr="00AB1193">
        <w:rPr>
          <w:rFonts w:cs="Arial"/>
        </w:rPr>
        <w:tab/>
        <w:t xml:space="preserve">the definitions of Development, Application and Planning Permission in this Agreement shall be construed to include references to any applications under section 73 of the TCPA 1990, the Section 73 Consent granted pursuant to any such application and the development permitted by such Section 73 Consent </w:t>
      </w:r>
    </w:p>
    <w:p w14:paraId="7A202D4E" w14:textId="77777777" w:rsidR="00AB1193" w:rsidRPr="00AB1193" w:rsidRDefault="00AB1193" w:rsidP="00AB1193">
      <w:pPr>
        <w:rPr>
          <w:rFonts w:cs="Arial"/>
        </w:rPr>
      </w:pPr>
      <w:r w:rsidRPr="00AB1193">
        <w:rPr>
          <w:rFonts w:cs="Arial"/>
        </w:rPr>
        <w:t>PROVIDED THAT</w:t>
      </w:r>
    </w:p>
    <w:p w14:paraId="3F7703C5" w14:textId="2FBA05EB" w:rsidR="00AB1193" w:rsidRPr="00AB1193" w:rsidRDefault="00AB1193" w:rsidP="00AB1193">
      <w:pPr>
        <w:rPr>
          <w:rFonts w:cs="Arial"/>
        </w:rPr>
      </w:pPr>
      <w:proofErr w:type="spellStart"/>
      <w:r w:rsidRPr="00AB1193">
        <w:rPr>
          <w:rFonts w:cs="Arial"/>
        </w:rPr>
        <w:t>i</w:t>
      </w:r>
      <w:proofErr w:type="spellEnd"/>
      <w:r w:rsidRPr="00AB1193">
        <w:rPr>
          <w:rFonts w:cs="Arial"/>
        </w:rPr>
        <w:t>)</w:t>
      </w:r>
      <w:r w:rsidRPr="00AB1193">
        <w:rPr>
          <w:rFonts w:cs="Arial"/>
        </w:rPr>
        <w:tab/>
        <w:t xml:space="preserve">nothing in this clause shall fetter the discretion of the Council in determining any application(s) under section 73 of the TCPA </w:t>
      </w:r>
      <w:r w:rsidRPr="00AB1193">
        <w:rPr>
          <w:rFonts w:cs="Arial"/>
        </w:rPr>
        <w:t>1990.</w:t>
      </w:r>
      <w:r w:rsidRPr="00AB1193">
        <w:rPr>
          <w:rFonts w:cs="Arial"/>
        </w:rPr>
        <w:t xml:space="preserve"> </w:t>
      </w:r>
    </w:p>
    <w:p w14:paraId="53D86EE9" w14:textId="77777777" w:rsidR="00AB1193" w:rsidRPr="00AB1193" w:rsidRDefault="00AB1193" w:rsidP="00AB1193">
      <w:pPr>
        <w:rPr>
          <w:rFonts w:cs="Arial"/>
        </w:rPr>
      </w:pPr>
      <w:r w:rsidRPr="00AB1193">
        <w:rPr>
          <w:rFonts w:cs="Arial"/>
        </w:rPr>
        <w:t>ii)</w:t>
      </w:r>
      <w:r w:rsidRPr="00AB1193">
        <w:rPr>
          <w:rFonts w:cs="Arial"/>
        </w:rPr>
        <w:tab/>
        <w:t>to the extent that any of the Obligations in this Agreement have already been discharged at the date that any Section 73 Consent is granted they shall remain discharged for the purposes of the Section 73 Consent; and</w:t>
      </w:r>
    </w:p>
    <w:p w14:paraId="18D968E0" w14:textId="3123D263" w:rsidR="00FD7F1F" w:rsidRPr="00AB1193" w:rsidRDefault="00AB1193" w:rsidP="00AB1193">
      <w:r w:rsidRPr="00AB1193">
        <w:rPr>
          <w:rFonts w:cs="Arial"/>
        </w:rPr>
        <w:t>iii)</w:t>
      </w:r>
      <w:r w:rsidRPr="00AB1193">
        <w:rPr>
          <w:rFonts w:cs="Arial"/>
        </w:rPr>
        <w:tab/>
        <w:t>the parties acknowledge that the Council has the right to insist upon the completion of a separate planning obligation by deed of agreement in connection with any Section 73 Consent if the Council (acting reasonably) considers it desirable to do so).</w:t>
      </w:r>
    </w:p>
    <w:sectPr w:rsidR="00FD7F1F" w:rsidRPr="00AB1193" w:rsidSect="003B7B1F">
      <w:headerReference w:type="default" r:id="rId9"/>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00F6" w14:textId="77777777" w:rsidR="00F81F5C" w:rsidRDefault="00F81F5C" w:rsidP="003B7B1F">
      <w:pPr>
        <w:spacing w:after="0" w:line="240" w:lineRule="auto"/>
      </w:pPr>
      <w:r>
        <w:separator/>
      </w:r>
    </w:p>
  </w:endnote>
  <w:endnote w:type="continuationSeparator" w:id="0">
    <w:p w14:paraId="0198482A" w14:textId="77777777" w:rsidR="00F81F5C" w:rsidRDefault="00F81F5C" w:rsidP="003B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E2F" w14:textId="2F19BAE3" w:rsidR="003B7B1F" w:rsidRPr="003B7B1F" w:rsidRDefault="00AB1193" w:rsidP="00A10267">
    <w:pPr>
      <w:tabs>
        <w:tab w:val="center" w:pos="4153"/>
        <w:tab w:val="right" w:pos="8306"/>
      </w:tabs>
      <w:spacing w:after="0" w:line="240" w:lineRule="auto"/>
      <w:jc w:val="both"/>
      <w:rPr>
        <w:rFonts w:eastAsia="Times New Roman" w:cs="Times New Roman"/>
        <w:kern w:val="0"/>
        <w:szCs w:val="24"/>
        <w:lang w:eastAsia="en-GB"/>
        <w14:ligatures w14:val="none"/>
      </w:rPr>
    </w:pPr>
    <w:r>
      <w:rPr>
        <w:rFonts w:eastAsia="Times New Roman" w:cs="Times New Roman"/>
        <w:kern w:val="0"/>
        <w:szCs w:val="24"/>
        <w:lang w:eastAsia="en-GB"/>
        <w14:ligatures w14:val="none"/>
      </w:rPr>
      <w:t>Section 73 Clause</w:t>
    </w:r>
    <w:r>
      <w:rPr>
        <w:rFonts w:eastAsia="Times New Roman" w:cs="Times New Roman"/>
        <w:kern w:val="0"/>
        <w:szCs w:val="24"/>
        <w:lang w:eastAsia="en-GB"/>
        <w14:ligatures w14:val="none"/>
      </w:rPr>
      <w:tab/>
    </w:r>
    <w:r>
      <w:rPr>
        <w:rFonts w:eastAsia="Times New Roman" w:cs="Times New Roman"/>
        <w:kern w:val="0"/>
        <w:szCs w:val="24"/>
        <w:lang w:eastAsia="en-GB"/>
        <w14:ligatures w14:val="none"/>
      </w:rPr>
      <w:tab/>
      <w:t>Page 1 of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B042" w14:textId="7D257304" w:rsidR="003B7B1F" w:rsidRDefault="003B7B1F" w:rsidP="003B7B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4CA3" w14:textId="77777777" w:rsidR="00F81F5C" w:rsidRDefault="00F81F5C" w:rsidP="003B7B1F">
      <w:pPr>
        <w:spacing w:after="0" w:line="240" w:lineRule="auto"/>
      </w:pPr>
      <w:r>
        <w:separator/>
      </w:r>
    </w:p>
  </w:footnote>
  <w:footnote w:type="continuationSeparator" w:id="0">
    <w:p w14:paraId="20D59DE1" w14:textId="77777777" w:rsidR="00F81F5C" w:rsidRDefault="00F81F5C" w:rsidP="003B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E325" w14:textId="77777777" w:rsidR="003B7B1F" w:rsidRPr="003B7B1F" w:rsidRDefault="003B7B1F" w:rsidP="003B7B1F">
    <w:pPr>
      <w:tabs>
        <w:tab w:val="center" w:pos="4153"/>
        <w:tab w:val="right" w:pos="8306"/>
      </w:tabs>
      <w:spacing w:after="0" w:line="240" w:lineRule="auto"/>
      <w:jc w:val="both"/>
      <w:rPr>
        <w:rFonts w:eastAsia="Times New Roman" w:cs="Times New Roman"/>
        <w:kern w:val="0"/>
        <w:szCs w:val="24"/>
        <w:lang w:eastAsia="en-GB"/>
        <w14:ligatures w14:val="none"/>
      </w:rPr>
    </w:pPr>
    <w:r w:rsidRPr="003B7B1F">
      <w:rPr>
        <w:rFonts w:eastAsia="Times New Roman" w:cs="Times New Roman"/>
        <w:noProof/>
        <w:kern w:val="0"/>
        <w:szCs w:val="24"/>
        <w:lang w:eastAsia="en-GB"/>
        <w14:ligatures w14:val="none"/>
      </w:rPr>
      <w:drawing>
        <wp:anchor distT="0" distB="0" distL="114300" distR="114300" simplePos="0" relativeHeight="251659264" behindDoc="1" locked="0" layoutInCell="1" allowOverlap="1" wp14:anchorId="53F8B16C" wp14:editId="39F8B30F">
          <wp:simplePos x="0" y="0"/>
          <wp:positionH relativeFrom="margin">
            <wp:posOffset>4913630</wp:posOffset>
          </wp:positionH>
          <wp:positionV relativeFrom="paragraph">
            <wp:posOffset>-84293</wp:posOffset>
          </wp:positionV>
          <wp:extent cx="1219200" cy="304800"/>
          <wp:effectExtent l="0" t="0" r="0" b="0"/>
          <wp:wrapThrough wrapText="bothSides">
            <wp:wrapPolygon edited="0">
              <wp:start x="3713" y="0"/>
              <wp:lineTo x="338" y="8100"/>
              <wp:lineTo x="675" y="17550"/>
              <wp:lineTo x="8100" y="20250"/>
              <wp:lineTo x="16200" y="20250"/>
              <wp:lineTo x="21263" y="9450"/>
              <wp:lineTo x="20925" y="1350"/>
              <wp:lineTo x="6413" y="0"/>
              <wp:lineTo x="3713"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200" cy="304800"/>
                  </a:xfrm>
                  <a:prstGeom prst="rect">
                    <a:avLst/>
                  </a:prstGeom>
                  <a:noFill/>
                </pic:spPr>
              </pic:pic>
            </a:graphicData>
          </a:graphic>
          <wp14:sizeRelH relativeFrom="page">
            <wp14:pctWidth>0</wp14:pctWidth>
          </wp14:sizeRelH>
          <wp14:sizeRelV relativeFrom="page">
            <wp14:pctHeight>0</wp14:pctHeight>
          </wp14:sizeRelV>
        </wp:anchor>
      </w:drawing>
    </w:r>
    <w:r w:rsidRPr="003B7B1F">
      <w:rPr>
        <w:rFonts w:eastAsia="Times New Roman" w:cs="Times New Roman"/>
        <w:kern w:val="0"/>
        <w:szCs w:val="24"/>
        <w:lang w:eastAsia="en-GB"/>
        <w14:ligatures w14:val="none"/>
      </w:rPr>
      <w:t>Isle of Wight Council</w:t>
    </w:r>
  </w:p>
  <w:p w14:paraId="1449EE2B" w14:textId="77777777" w:rsidR="003B7B1F" w:rsidRDefault="003B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267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F219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F44053"/>
    <w:multiLevelType w:val="multilevel"/>
    <w:tmpl w:val="0D4A4AB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C44835"/>
    <w:multiLevelType w:val="hybridMultilevel"/>
    <w:tmpl w:val="D0189E30"/>
    <w:lvl w:ilvl="0" w:tplc="C5DE8DD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576209">
    <w:abstractNumId w:val="3"/>
  </w:num>
  <w:num w:numId="2" w16cid:durableId="703870294">
    <w:abstractNumId w:val="1"/>
  </w:num>
  <w:num w:numId="3" w16cid:durableId="10958771">
    <w:abstractNumId w:val="0"/>
  </w:num>
  <w:num w:numId="4" w16cid:durableId="177216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F7"/>
    <w:rsid w:val="00326BC3"/>
    <w:rsid w:val="00350937"/>
    <w:rsid w:val="003B7B1F"/>
    <w:rsid w:val="004C33E2"/>
    <w:rsid w:val="005D24C5"/>
    <w:rsid w:val="007978E0"/>
    <w:rsid w:val="00A10267"/>
    <w:rsid w:val="00A72C18"/>
    <w:rsid w:val="00A73ED0"/>
    <w:rsid w:val="00AB1193"/>
    <w:rsid w:val="00AB3C9B"/>
    <w:rsid w:val="00C261E8"/>
    <w:rsid w:val="00E224B8"/>
    <w:rsid w:val="00E24791"/>
    <w:rsid w:val="00E302F7"/>
    <w:rsid w:val="00E33C63"/>
    <w:rsid w:val="00ED56D5"/>
    <w:rsid w:val="00F55C11"/>
    <w:rsid w:val="00F81F5C"/>
    <w:rsid w:val="00FD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83C1"/>
  <w15:chartTrackingRefBased/>
  <w15:docId w15:val="{DEBCA5AE-434B-44D8-A3E7-BA60E0E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F7"/>
    <w:rPr>
      <w:rFonts w:ascii="Arial" w:hAnsi="Arial"/>
      <w:sz w:val="24"/>
    </w:rPr>
  </w:style>
  <w:style w:type="paragraph" w:styleId="Heading1">
    <w:name w:val="heading 1"/>
    <w:basedOn w:val="ListParagraph"/>
    <w:next w:val="Normal"/>
    <w:link w:val="Heading1Char"/>
    <w:uiPriority w:val="9"/>
    <w:qFormat/>
    <w:rsid w:val="003B7B1F"/>
    <w:pPr>
      <w:numPr>
        <w:numId w:val="4"/>
      </w:numPr>
      <w:spacing w:before="240" w:after="120" w:line="240" w:lineRule="auto"/>
      <w:ind w:left="720" w:hanging="720"/>
      <w:outlineLvl w:val="0"/>
    </w:pPr>
    <w:rPr>
      <w:b/>
      <w:sz w:val="28"/>
    </w:rPr>
  </w:style>
  <w:style w:type="paragraph" w:styleId="Heading2">
    <w:name w:val="heading 2"/>
    <w:basedOn w:val="ListParagraph"/>
    <w:next w:val="Normal"/>
    <w:link w:val="Heading2Char"/>
    <w:uiPriority w:val="9"/>
    <w:unhideWhenUsed/>
    <w:qFormat/>
    <w:rsid w:val="003B7B1F"/>
    <w:pPr>
      <w:numPr>
        <w:ilvl w:val="1"/>
        <w:numId w:val="4"/>
      </w:numPr>
      <w:spacing w:before="240" w:after="120" w:line="240" w:lineRule="auto"/>
      <w:ind w:left="720" w:hanging="720"/>
      <w:outlineLvl w:val="1"/>
    </w:pPr>
    <w:rPr>
      <w:b/>
      <w:sz w:val="26"/>
    </w:rPr>
  </w:style>
  <w:style w:type="paragraph" w:styleId="Heading3">
    <w:name w:val="heading 3"/>
    <w:basedOn w:val="ListParagraph"/>
    <w:next w:val="Normal"/>
    <w:link w:val="Heading3Char"/>
    <w:uiPriority w:val="9"/>
    <w:unhideWhenUsed/>
    <w:qFormat/>
    <w:rsid w:val="003B7B1F"/>
    <w:pPr>
      <w:numPr>
        <w:ilvl w:val="2"/>
        <w:numId w:val="4"/>
      </w:numPr>
      <w:spacing w:before="240" w:after="120" w:line="240" w:lineRule="auto"/>
      <w:ind w:left="720" w:hanging="720"/>
      <w:outlineLvl w:val="2"/>
    </w:pPr>
    <w:rPr>
      <w:b/>
    </w:rPr>
  </w:style>
  <w:style w:type="paragraph" w:styleId="Heading4">
    <w:name w:val="heading 4"/>
    <w:basedOn w:val="ListParagraph"/>
    <w:next w:val="Normal"/>
    <w:link w:val="Heading4Char"/>
    <w:uiPriority w:val="9"/>
    <w:unhideWhenUsed/>
    <w:rsid w:val="00E302F7"/>
    <w:pPr>
      <w:numPr>
        <w:ilvl w:val="3"/>
        <w:numId w:val="4"/>
      </w:numPr>
      <w:spacing w:before="240" w:after="60"/>
      <w:ind w:left="720" w:hanging="720"/>
      <w:outlineLvl w:val="3"/>
    </w:pPr>
    <w:rPr>
      <w:b/>
    </w:rPr>
  </w:style>
  <w:style w:type="paragraph" w:styleId="Heading5">
    <w:name w:val="heading 5"/>
    <w:basedOn w:val="ListParagraph"/>
    <w:next w:val="Normal"/>
    <w:link w:val="Heading5Char"/>
    <w:uiPriority w:val="9"/>
    <w:unhideWhenUsed/>
    <w:rsid w:val="00E302F7"/>
    <w:pPr>
      <w:numPr>
        <w:ilvl w:val="4"/>
        <w:numId w:val="4"/>
      </w:numPr>
      <w:spacing w:before="240" w:after="60"/>
      <w:ind w:left="0" w:firstLine="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1F"/>
    <w:rPr>
      <w:rFonts w:ascii="Arial" w:hAnsi="Arial"/>
      <w:b/>
      <w:sz w:val="28"/>
    </w:rPr>
  </w:style>
  <w:style w:type="paragraph" w:styleId="ListParagraph">
    <w:name w:val="List Paragraph"/>
    <w:basedOn w:val="Normal"/>
    <w:uiPriority w:val="34"/>
    <w:qFormat/>
    <w:rsid w:val="00E302F7"/>
    <w:pPr>
      <w:ind w:left="720"/>
      <w:contextualSpacing/>
    </w:pPr>
  </w:style>
  <w:style w:type="character" w:customStyle="1" w:styleId="Heading2Char">
    <w:name w:val="Heading 2 Char"/>
    <w:basedOn w:val="DefaultParagraphFont"/>
    <w:link w:val="Heading2"/>
    <w:uiPriority w:val="9"/>
    <w:rsid w:val="003B7B1F"/>
    <w:rPr>
      <w:rFonts w:ascii="Arial" w:hAnsi="Arial"/>
      <w:b/>
      <w:sz w:val="26"/>
    </w:rPr>
  </w:style>
  <w:style w:type="character" w:customStyle="1" w:styleId="Heading3Char">
    <w:name w:val="Heading 3 Char"/>
    <w:basedOn w:val="DefaultParagraphFont"/>
    <w:link w:val="Heading3"/>
    <w:uiPriority w:val="9"/>
    <w:rsid w:val="003B7B1F"/>
    <w:rPr>
      <w:rFonts w:ascii="Arial" w:hAnsi="Arial"/>
      <w:b/>
      <w:sz w:val="24"/>
    </w:rPr>
  </w:style>
  <w:style w:type="character" w:customStyle="1" w:styleId="Heading4Char">
    <w:name w:val="Heading 4 Char"/>
    <w:basedOn w:val="DefaultParagraphFont"/>
    <w:link w:val="Heading4"/>
    <w:uiPriority w:val="9"/>
    <w:rsid w:val="00E302F7"/>
    <w:rPr>
      <w:rFonts w:ascii="Arial" w:hAnsi="Arial"/>
      <w:b/>
      <w:sz w:val="24"/>
    </w:rPr>
  </w:style>
  <w:style w:type="character" w:customStyle="1" w:styleId="Heading5Char">
    <w:name w:val="Heading 5 Char"/>
    <w:basedOn w:val="DefaultParagraphFont"/>
    <w:link w:val="Heading5"/>
    <w:uiPriority w:val="9"/>
    <w:rsid w:val="00E302F7"/>
    <w:rPr>
      <w:rFonts w:ascii="Arial" w:hAnsi="Arial"/>
      <w:b/>
      <w:sz w:val="24"/>
    </w:rPr>
  </w:style>
  <w:style w:type="paragraph" w:styleId="NoSpacing">
    <w:name w:val="No Spacing"/>
    <w:link w:val="NoSpacingChar"/>
    <w:uiPriority w:val="1"/>
    <w:qFormat/>
    <w:rsid w:val="003B7B1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B7B1F"/>
    <w:rPr>
      <w:rFonts w:eastAsiaTheme="minorEastAsia"/>
      <w:kern w:val="0"/>
      <w:lang w:val="en-US"/>
      <w14:ligatures w14:val="none"/>
    </w:rPr>
  </w:style>
  <w:style w:type="paragraph" w:styleId="Header">
    <w:name w:val="header"/>
    <w:basedOn w:val="Normal"/>
    <w:link w:val="HeaderChar"/>
    <w:uiPriority w:val="99"/>
    <w:unhideWhenUsed/>
    <w:rsid w:val="003B7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B1F"/>
    <w:rPr>
      <w:rFonts w:ascii="Arial" w:hAnsi="Arial"/>
      <w:sz w:val="24"/>
    </w:rPr>
  </w:style>
  <w:style w:type="paragraph" w:styleId="Footer">
    <w:name w:val="footer"/>
    <w:basedOn w:val="Normal"/>
    <w:link w:val="FooterChar"/>
    <w:uiPriority w:val="99"/>
    <w:unhideWhenUsed/>
    <w:rsid w:val="003B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1F"/>
    <w:rPr>
      <w:rFonts w:ascii="Arial" w:hAnsi="Arial"/>
      <w:sz w:val="24"/>
    </w:rPr>
  </w:style>
  <w:style w:type="table" w:styleId="TableGrid">
    <w:name w:val="Table Grid"/>
    <w:basedOn w:val="TableNormal"/>
    <w:uiPriority w:val="39"/>
    <w:rsid w:val="00C2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261E8"/>
    <w:pPr>
      <w:spacing w:after="0" w:line="240" w:lineRule="auto"/>
      <w:ind w:left="720"/>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261E8"/>
    <w:pPr>
      <w:keepNext/>
      <w:keepLines/>
      <w:numPr>
        <w:numId w:val="0"/>
      </w:numPr>
      <w:spacing w:after="0" w:line="259" w:lineRule="auto"/>
      <w:contextualSpacing w:val="0"/>
      <w:outlineLvl w:val="9"/>
    </w:pPr>
    <w:rPr>
      <w:rFonts w:asciiTheme="majorHAnsi" w:eastAsiaTheme="majorEastAsia" w:hAnsiTheme="majorHAnsi" w:cstheme="majorBid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C261E8"/>
    <w:pPr>
      <w:suppressLineNumbers/>
      <w:spacing w:after="100"/>
    </w:pPr>
  </w:style>
  <w:style w:type="paragraph" w:styleId="TOC2">
    <w:name w:val="toc 2"/>
    <w:basedOn w:val="Normal"/>
    <w:next w:val="Normal"/>
    <w:autoRedefine/>
    <w:uiPriority w:val="39"/>
    <w:unhideWhenUsed/>
    <w:rsid w:val="00C261E8"/>
    <w:pPr>
      <w:tabs>
        <w:tab w:val="left" w:pos="880"/>
        <w:tab w:val="right" w:leader="dot" w:pos="9016"/>
      </w:tabs>
      <w:spacing w:after="100"/>
    </w:pPr>
  </w:style>
  <w:style w:type="paragraph" w:styleId="TOC3">
    <w:name w:val="toc 3"/>
    <w:basedOn w:val="Normal"/>
    <w:next w:val="Normal"/>
    <w:autoRedefine/>
    <w:uiPriority w:val="39"/>
    <w:unhideWhenUsed/>
    <w:rsid w:val="00C261E8"/>
    <w:pPr>
      <w:tabs>
        <w:tab w:val="left" w:pos="1320"/>
        <w:tab w:val="right" w:leader="dot" w:pos="9016"/>
      </w:tabs>
      <w:spacing w:after="100"/>
    </w:pPr>
  </w:style>
  <w:style w:type="character" w:styleId="Hyperlink">
    <w:name w:val="Hyperlink"/>
    <w:basedOn w:val="DefaultParagraphFont"/>
    <w:uiPriority w:val="99"/>
    <w:unhideWhenUsed/>
    <w:rsid w:val="00C261E8"/>
    <w:rPr>
      <w:color w:val="0563C1" w:themeColor="hyperlink"/>
      <w:u w:val="single"/>
    </w:rPr>
  </w:style>
  <w:style w:type="character" w:styleId="UnresolvedMention">
    <w:name w:val="Unresolved Mention"/>
    <w:basedOn w:val="DefaultParagraphFont"/>
    <w:uiPriority w:val="99"/>
    <w:semiHidden/>
    <w:unhideWhenUsed/>
    <w:rsid w:val="00FD7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40799">
      <w:bodyDiv w:val="1"/>
      <w:marLeft w:val="0"/>
      <w:marRight w:val="0"/>
      <w:marTop w:val="0"/>
      <w:marBottom w:val="0"/>
      <w:divBdr>
        <w:top w:val="none" w:sz="0" w:space="0" w:color="auto"/>
        <w:left w:val="none" w:sz="0" w:space="0" w:color="auto"/>
        <w:bottom w:val="none" w:sz="0" w:space="0" w:color="auto"/>
        <w:right w:val="none" w:sz="0" w:space="0" w:color="auto"/>
      </w:divBdr>
    </w:div>
    <w:div w:id="18314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5D33966C14289B54271EA0457E8E6"/>
        <w:category>
          <w:name w:val="General"/>
          <w:gallery w:val="placeholder"/>
        </w:category>
        <w:types>
          <w:type w:val="bbPlcHdr"/>
        </w:types>
        <w:behaviors>
          <w:behavior w:val="content"/>
        </w:behaviors>
        <w:guid w:val="{314E1CAE-93C7-4F0F-8E53-68DD4F44AC5F}"/>
      </w:docPartPr>
      <w:docPartBody>
        <w:p w:rsidR="0029500D" w:rsidRDefault="0029500D" w:rsidP="0029500D">
          <w:pPr>
            <w:pStyle w:val="8115D33966C14289B54271EA0457E8E6"/>
          </w:pPr>
          <w:r>
            <w:rPr>
              <w:color w:val="2F5496" w:themeColor="accent1" w:themeShade="BF"/>
              <w:sz w:val="24"/>
              <w:szCs w:val="24"/>
            </w:rPr>
            <w:t>[Company name]</w:t>
          </w:r>
        </w:p>
      </w:docPartBody>
    </w:docPart>
    <w:docPart>
      <w:docPartPr>
        <w:name w:val="96EFC37433244C8D804554D4F936D13D"/>
        <w:category>
          <w:name w:val="General"/>
          <w:gallery w:val="placeholder"/>
        </w:category>
        <w:types>
          <w:type w:val="bbPlcHdr"/>
        </w:types>
        <w:behaviors>
          <w:behavior w:val="content"/>
        </w:behaviors>
        <w:guid w:val="{A8F280DE-8219-4584-90B2-89058682F8C4}"/>
      </w:docPartPr>
      <w:docPartBody>
        <w:p w:rsidR="0029500D" w:rsidRDefault="0029500D" w:rsidP="0029500D">
          <w:pPr>
            <w:pStyle w:val="96EFC37433244C8D804554D4F936D13D"/>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0D"/>
    <w:rsid w:val="001429E8"/>
    <w:rsid w:val="0029500D"/>
    <w:rsid w:val="00BA2C52"/>
    <w:rsid w:val="00CB1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5D33966C14289B54271EA0457E8E6">
    <w:name w:val="8115D33966C14289B54271EA0457E8E6"/>
    <w:rsid w:val="0029500D"/>
  </w:style>
  <w:style w:type="paragraph" w:customStyle="1" w:styleId="96EFC37433244C8D804554D4F936D13D">
    <w:name w:val="96EFC37433244C8D804554D4F936D13D"/>
    <w:rsid w:val="00295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0FD0-F465-41AC-A980-572B3F8B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[POLICY TITLE]</vt:lpstr>
    </vt:vector>
  </TitlesOfParts>
  <Company>Isle of Wight Council</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 Clause</dc:title>
  <dc:subject>[DATE PERIOD/E</dc:subject>
  <dc:creator>Aaron Wheeldon</dc:creator>
  <cp:keywords/>
  <dc:description/>
  <cp:lastModifiedBy>Andrews, Amanda</cp:lastModifiedBy>
  <cp:revision>6</cp:revision>
  <dcterms:created xsi:type="dcterms:W3CDTF">2024-11-12T10:53:00Z</dcterms:created>
  <dcterms:modified xsi:type="dcterms:W3CDTF">2024-11-12T11:40:00Z</dcterms:modified>
</cp:coreProperties>
</file>