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8DD6E" w14:textId="77777777" w:rsidR="00D33DDD" w:rsidRDefault="00D33DDD" w:rsidP="00E404D6">
      <w:pPr>
        <w:spacing w:after="0" w:line="240" w:lineRule="auto"/>
        <w:ind w:left="-426" w:right="-447"/>
        <w:rPr>
          <w:rFonts w:ascii="Arial" w:hAnsi="Arial" w:cs="Arial"/>
          <w:sz w:val="20"/>
          <w:szCs w:val="20"/>
        </w:rPr>
      </w:pPr>
    </w:p>
    <w:p w14:paraId="7AF4EB38" w14:textId="13BFC745" w:rsidR="00E404D6" w:rsidRPr="00E404D6" w:rsidRDefault="00E404D6" w:rsidP="00E404D6">
      <w:pPr>
        <w:spacing w:after="0" w:line="240" w:lineRule="auto"/>
        <w:ind w:left="-426" w:right="-44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31569A">
        <w:rPr>
          <w:rFonts w:ascii="Arial" w:hAnsi="Arial" w:cs="Arial"/>
          <w:sz w:val="20"/>
          <w:szCs w:val="20"/>
        </w:rPr>
        <w:t>E</w:t>
      </w:r>
      <w:r w:rsidR="00055649" w:rsidRPr="0031569A">
        <w:rPr>
          <w:rFonts w:ascii="Arial" w:hAnsi="Arial" w:cs="Arial"/>
          <w:sz w:val="20"/>
          <w:szCs w:val="20"/>
        </w:rPr>
        <w:t xml:space="preserve">vent organisers must submit </w:t>
      </w:r>
      <w:r w:rsidR="00F579D3" w:rsidRPr="0031569A">
        <w:rPr>
          <w:rFonts w:ascii="Arial" w:hAnsi="Arial" w:cs="Arial"/>
          <w:sz w:val="20"/>
          <w:szCs w:val="20"/>
        </w:rPr>
        <w:t>a detailed</w:t>
      </w:r>
      <w:r w:rsidR="00055649" w:rsidRPr="0031569A">
        <w:rPr>
          <w:rFonts w:ascii="Arial" w:hAnsi="Arial" w:cs="Arial"/>
          <w:sz w:val="20"/>
          <w:szCs w:val="20"/>
        </w:rPr>
        <w:t xml:space="preserve"> COVID-19 Risk Assessment </w:t>
      </w:r>
      <w:r w:rsidRPr="0031569A">
        <w:rPr>
          <w:rFonts w:ascii="Arial" w:hAnsi="Arial" w:cs="Arial"/>
          <w:sz w:val="20"/>
          <w:szCs w:val="20"/>
        </w:rPr>
        <w:t>and</w:t>
      </w:r>
      <w:r w:rsidR="00055649" w:rsidRPr="0031569A">
        <w:rPr>
          <w:rFonts w:ascii="Arial" w:hAnsi="Arial" w:cs="Arial"/>
          <w:sz w:val="20"/>
          <w:szCs w:val="20"/>
        </w:rPr>
        <w:t xml:space="preserve"> </w:t>
      </w:r>
      <w:r w:rsidRPr="0031569A">
        <w:rPr>
          <w:rFonts w:ascii="Arial" w:hAnsi="Arial" w:cs="Arial"/>
          <w:sz w:val="20"/>
          <w:szCs w:val="20"/>
        </w:rPr>
        <w:t>E</w:t>
      </w:r>
      <w:r w:rsidR="00055649" w:rsidRPr="0031569A">
        <w:rPr>
          <w:rFonts w:ascii="Arial" w:hAnsi="Arial" w:cs="Arial"/>
          <w:sz w:val="20"/>
          <w:szCs w:val="20"/>
        </w:rPr>
        <w:t xml:space="preserve">vent </w:t>
      </w:r>
      <w:r w:rsidRPr="0031569A">
        <w:rPr>
          <w:rFonts w:ascii="Arial" w:hAnsi="Arial" w:cs="Arial"/>
          <w:sz w:val="20"/>
          <w:szCs w:val="20"/>
        </w:rPr>
        <w:t>Management P</w:t>
      </w:r>
      <w:r w:rsidR="00055649" w:rsidRPr="0031569A">
        <w:rPr>
          <w:rFonts w:ascii="Arial" w:hAnsi="Arial" w:cs="Arial"/>
          <w:sz w:val="20"/>
          <w:szCs w:val="20"/>
        </w:rPr>
        <w:t>lan</w:t>
      </w:r>
      <w:r w:rsidRPr="0031569A">
        <w:rPr>
          <w:rFonts w:ascii="Arial" w:hAnsi="Arial" w:cs="Arial"/>
          <w:sz w:val="20"/>
          <w:szCs w:val="20"/>
        </w:rPr>
        <w:t xml:space="preserve">, </w:t>
      </w:r>
      <w:r w:rsidR="00055649" w:rsidRPr="0031569A">
        <w:rPr>
          <w:rFonts w:ascii="Arial" w:hAnsi="Arial" w:cs="Arial"/>
          <w:sz w:val="20"/>
          <w:szCs w:val="20"/>
        </w:rPr>
        <w:t xml:space="preserve">which provides </w:t>
      </w:r>
      <w:r w:rsidRPr="0031569A">
        <w:rPr>
          <w:rFonts w:ascii="Arial" w:hAnsi="Arial" w:cs="Arial"/>
          <w:sz w:val="20"/>
          <w:szCs w:val="20"/>
        </w:rPr>
        <w:t xml:space="preserve">information about the proposed </w:t>
      </w:r>
      <w:r w:rsidR="00055649" w:rsidRPr="0031569A">
        <w:rPr>
          <w:rFonts w:ascii="Arial" w:hAnsi="Arial" w:cs="Arial"/>
          <w:sz w:val="20"/>
          <w:szCs w:val="20"/>
        </w:rPr>
        <w:t>activities</w:t>
      </w:r>
      <w:r w:rsidRPr="0031569A">
        <w:rPr>
          <w:rFonts w:ascii="Arial" w:hAnsi="Arial" w:cs="Arial"/>
          <w:sz w:val="20"/>
          <w:szCs w:val="20"/>
        </w:rPr>
        <w:t xml:space="preserve"> and the </w:t>
      </w:r>
      <w:r w:rsidR="00055649" w:rsidRPr="0031569A">
        <w:rPr>
          <w:rFonts w:ascii="Arial" w:hAnsi="Arial" w:cs="Arial"/>
          <w:sz w:val="20"/>
          <w:szCs w:val="20"/>
        </w:rPr>
        <w:t>measures t</w:t>
      </w:r>
      <w:r w:rsidRPr="0031569A">
        <w:rPr>
          <w:rFonts w:ascii="Arial" w:hAnsi="Arial" w:cs="Arial"/>
          <w:sz w:val="20"/>
          <w:szCs w:val="20"/>
        </w:rPr>
        <w:t>hat will be in place to</w:t>
      </w:r>
      <w:r w:rsidR="00055649" w:rsidRPr="0031569A">
        <w:rPr>
          <w:rFonts w:ascii="Arial" w:hAnsi="Arial" w:cs="Arial"/>
          <w:sz w:val="20"/>
          <w:szCs w:val="20"/>
        </w:rPr>
        <w:t xml:space="preserve"> </w:t>
      </w:r>
      <w:r w:rsidRPr="0031569A">
        <w:rPr>
          <w:rFonts w:ascii="Arial" w:hAnsi="Arial" w:cs="Arial"/>
          <w:sz w:val="20"/>
          <w:szCs w:val="20"/>
        </w:rPr>
        <w:t>reduce the risk of transmission of</w:t>
      </w:r>
      <w:r w:rsidR="00055649" w:rsidRPr="0031569A">
        <w:rPr>
          <w:rFonts w:ascii="Arial" w:hAnsi="Arial" w:cs="Arial"/>
          <w:sz w:val="20"/>
          <w:szCs w:val="20"/>
        </w:rPr>
        <w:t xml:space="preserve"> </w:t>
      </w:r>
      <w:r w:rsidRPr="0031569A">
        <w:rPr>
          <w:rFonts w:ascii="Arial" w:hAnsi="Arial" w:cs="Arial"/>
          <w:sz w:val="20"/>
          <w:szCs w:val="20"/>
        </w:rPr>
        <w:t>COVID-</w:t>
      </w:r>
      <w:r w:rsidR="00055649" w:rsidRPr="0031569A">
        <w:rPr>
          <w:rFonts w:ascii="Arial" w:hAnsi="Arial" w:cs="Arial"/>
          <w:sz w:val="20"/>
          <w:szCs w:val="20"/>
        </w:rPr>
        <w:t>19</w:t>
      </w:r>
      <w:r w:rsidR="00F579D3" w:rsidRPr="0031569A">
        <w:rPr>
          <w:rFonts w:ascii="Arial" w:hAnsi="Arial" w:cs="Arial"/>
          <w:sz w:val="20"/>
          <w:szCs w:val="20"/>
        </w:rPr>
        <w:t xml:space="preserve"> as part of their application</w:t>
      </w:r>
      <w:r w:rsidR="00055649" w:rsidRPr="0031569A">
        <w:rPr>
          <w:rFonts w:ascii="Arial" w:hAnsi="Arial" w:cs="Arial"/>
          <w:sz w:val="20"/>
          <w:szCs w:val="20"/>
        </w:rPr>
        <w:t>.</w:t>
      </w:r>
      <w:r w:rsidRPr="0031569A">
        <w:rPr>
          <w:rFonts w:ascii="Arial" w:hAnsi="Arial" w:cs="Arial"/>
          <w:sz w:val="20"/>
          <w:szCs w:val="20"/>
        </w:rPr>
        <w:t xml:space="preserve"> It is recommended that organisers read our </w:t>
      </w:r>
      <w:hyperlink r:id="rId8" w:history="1">
        <w:r w:rsidRPr="004C63D4">
          <w:rPr>
            <w:rStyle w:val="Hyperlink"/>
            <w:rFonts w:ascii="Arial" w:hAnsi="Arial" w:cs="Arial"/>
            <w:sz w:val="20"/>
            <w:szCs w:val="20"/>
          </w:rPr>
          <w:t>Event Guidance</w:t>
        </w:r>
      </w:hyperlink>
      <w:r w:rsidRPr="0031569A">
        <w:rPr>
          <w:rFonts w:ascii="Arial" w:hAnsi="Arial" w:cs="Arial"/>
          <w:sz w:val="20"/>
          <w:szCs w:val="20"/>
        </w:rPr>
        <w:t xml:space="preserve"> document. </w:t>
      </w:r>
      <w:r w:rsidRPr="0031569A">
        <w:rPr>
          <w:rFonts w:ascii="Arial" w:hAnsi="Arial" w:cs="Arial"/>
          <w:color w:val="000000"/>
          <w:sz w:val="20"/>
          <w:szCs w:val="20"/>
          <w:lang w:eastAsia="en-GB"/>
        </w:rPr>
        <w:t xml:space="preserve">The Events Industry Forum has also published </w:t>
      </w:r>
      <w:hyperlink r:id="rId9" w:history="1">
        <w:r w:rsidRPr="004C63D4">
          <w:rPr>
            <w:rStyle w:val="Hyperlink"/>
            <w:rFonts w:ascii="Arial" w:hAnsi="Arial" w:cs="Arial"/>
            <w:sz w:val="20"/>
            <w:szCs w:val="20"/>
            <w:lang w:eastAsia="en-GB"/>
          </w:rPr>
          <w:t>guidance on outdoor events</w:t>
        </w:r>
      </w:hyperlink>
      <w:r w:rsidRPr="0031569A">
        <w:rPr>
          <w:rFonts w:ascii="Arial" w:hAnsi="Arial" w:cs="Arial"/>
          <w:color w:val="000000"/>
          <w:sz w:val="20"/>
          <w:szCs w:val="20"/>
          <w:lang w:eastAsia="en-GB"/>
        </w:rPr>
        <w:t xml:space="preserve"> which has been developed with input from DCMS (you will need to create an account to access this but it is free).</w:t>
      </w:r>
      <w:r w:rsidRPr="00E404D6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44AA8C0D" w14:textId="77777777" w:rsidR="00E404D6" w:rsidRPr="009D5448" w:rsidRDefault="00E404D6" w:rsidP="00E404D6">
      <w:pPr>
        <w:spacing w:after="0" w:line="240" w:lineRule="auto"/>
        <w:ind w:left="-426" w:right="-447"/>
        <w:rPr>
          <w:rFonts w:cs="Arial"/>
          <w:lang w:eastAsia="en-GB"/>
        </w:rPr>
      </w:pPr>
    </w:p>
    <w:p w14:paraId="5C840758" w14:textId="033450B8" w:rsidR="00B02ECE" w:rsidRDefault="00E22F85" w:rsidP="00E404D6">
      <w:pPr>
        <w:spacing w:after="0" w:line="240" w:lineRule="auto"/>
        <w:ind w:left="-426" w:right="-447"/>
        <w:jc w:val="both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sz w:val="20"/>
          <w:szCs w:val="20"/>
        </w:rPr>
        <w:t xml:space="preserve">The following checklist is provided as a guide for those intending to organise and run an event </w:t>
      </w:r>
      <w:r w:rsidR="00681005" w:rsidRPr="00B02ECE">
        <w:rPr>
          <w:rFonts w:ascii="Arial" w:hAnsi="Arial" w:cs="Arial"/>
          <w:sz w:val="20"/>
          <w:szCs w:val="20"/>
        </w:rPr>
        <w:t>on the Isle of Wight and is the tool against which your event application will be assessed</w:t>
      </w:r>
      <w:r w:rsidRPr="00B02ECE">
        <w:rPr>
          <w:rFonts w:ascii="Arial" w:hAnsi="Arial" w:cs="Arial"/>
          <w:sz w:val="20"/>
          <w:szCs w:val="20"/>
        </w:rPr>
        <w:t>. It is a starting point and is not exhaustive</w:t>
      </w:r>
      <w:r w:rsidR="00D33DDD">
        <w:rPr>
          <w:rFonts w:ascii="Arial" w:hAnsi="Arial" w:cs="Arial"/>
          <w:sz w:val="20"/>
          <w:szCs w:val="20"/>
        </w:rPr>
        <w:t>;</w:t>
      </w:r>
      <w:r w:rsidRPr="00B02ECE">
        <w:rPr>
          <w:rFonts w:ascii="Arial" w:hAnsi="Arial" w:cs="Arial"/>
          <w:sz w:val="20"/>
          <w:szCs w:val="20"/>
        </w:rPr>
        <w:t xml:space="preserve"> </w:t>
      </w:r>
      <w:r w:rsidR="00D33DDD">
        <w:rPr>
          <w:rFonts w:ascii="Arial" w:hAnsi="Arial" w:cs="Arial"/>
          <w:sz w:val="20"/>
          <w:szCs w:val="20"/>
        </w:rPr>
        <w:t>y</w:t>
      </w:r>
      <w:r w:rsidRPr="00B02ECE">
        <w:rPr>
          <w:rFonts w:ascii="Arial" w:hAnsi="Arial" w:cs="Arial"/>
          <w:sz w:val="20"/>
          <w:szCs w:val="20"/>
        </w:rPr>
        <w:t xml:space="preserve">our event is unique and will present specific risks. Any event application that does not contain at least the information described below may be delayed as this will be requested. </w:t>
      </w:r>
    </w:p>
    <w:p w14:paraId="297D7BD6" w14:textId="77777777" w:rsidR="00B02ECE" w:rsidRDefault="00B02ECE" w:rsidP="00E404D6">
      <w:pPr>
        <w:spacing w:after="0" w:line="240" w:lineRule="auto"/>
        <w:ind w:left="-426" w:right="-447"/>
        <w:jc w:val="both"/>
        <w:rPr>
          <w:rFonts w:ascii="Arial" w:hAnsi="Arial" w:cs="Arial"/>
          <w:sz w:val="20"/>
          <w:szCs w:val="20"/>
        </w:rPr>
      </w:pPr>
    </w:p>
    <w:p w14:paraId="55B5D67A" w14:textId="5DEE86AC" w:rsidR="00E22F85" w:rsidRDefault="00E22F85" w:rsidP="00E404D6">
      <w:pPr>
        <w:spacing w:after="0" w:line="240" w:lineRule="auto"/>
        <w:ind w:left="-426" w:right="-447"/>
        <w:jc w:val="both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sz w:val="20"/>
          <w:szCs w:val="20"/>
        </w:rPr>
        <w:t xml:space="preserve">Once submitted, we may request further information and clarification. Where insufficient information is provided then your application will be escalated to the </w:t>
      </w:r>
      <w:r w:rsidR="00F92E12" w:rsidRPr="00B02ECE">
        <w:rPr>
          <w:rFonts w:ascii="Arial" w:hAnsi="Arial" w:cs="Arial"/>
          <w:sz w:val="20"/>
          <w:szCs w:val="20"/>
        </w:rPr>
        <w:t>Director of Public Health</w:t>
      </w:r>
      <w:r w:rsidRPr="00B02ECE">
        <w:rPr>
          <w:rFonts w:ascii="Arial" w:hAnsi="Arial" w:cs="Arial"/>
          <w:sz w:val="20"/>
          <w:szCs w:val="20"/>
        </w:rPr>
        <w:t xml:space="preserve"> for consideration and may require specific controls including to restrict or prohibit and event in accordance with </w:t>
      </w:r>
      <w:hyperlink r:id="rId10" w:history="1">
        <w:r w:rsidR="00D33DDD">
          <w:rPr>
            <w:rStyle w:val="Hyperlink"/>
            <w:rFonts w:ascii="Arial" w:hAnsi="Arial" w:cs="Arial"/>
            <w:sz w:val="20"/>
            <w:szCs w:val="20"/>
          </w:rPr>
          <w:t>Health Protection regulations</w:t>
        </w:r>
      </w:hyperlink>
      <w:r w:rsidR="00055649" w:rsidRPr="00B02ECE">
        <w:rPr>
          <w:rFonts w:ascii="Arial" w:hAnsi="Arial" w:cs="Arial"/>
          <w:sz w:val="20"/>
          <w:szCs w:val="20"/>
        </w:rPr>
        <w:t>.</w:t>
      </w:r>
    </w:p>
    <w:p w14:paraId="0ED4CD7B" w14:textId="77777777" w:rsidR="00B02ECE" w:rsidRDefault="00B02ECE" w:rsidP="00E404D6">
      <w:pPr>
        <w:pStyle w:val="Default"/>
        <w:ind w:left="-426" w:right="-447"/>
        <w:rPr>
          <w:rFonts w:ascii="Arial" w:hAnsi="Arial" w:cs="Arial"/>
          <w:sz w:val="20"/>
          <w:szCs w:val="20"/>
        </w:rPr>
      </w:pPr>
    </w:p>
    <w:p w14:paraId="44B0F2E1" w14:textId="4E047C29" w:rsidR="00E22F85" w:rsidRDefault="00055649" w:rsidP="00E404D6">
      <w:pPr>
        <w:pStyle w:val="Default"/>
        <w:ind w:left="-426" w:right="-447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sz w:val="20"/>
          <w:szCs w:val="20"/>
        </w:rPr>
        <w:t xml:space="preserve">The Isle of Wight Council </w:t>
      </w:r>
      <w:r w:rsidR="00681005" w:rsidRPr="00B02ECE">
        <w:rPr>
          <w:rFonts w:ascii="Arial" w:hAnsi="Arial" w:cs="Arial"/>
          <w:sz w:val="20"/>
          <w:szCs w:val="20"/>
        </w:rPr>
        <w:t>will</w:t>
      </w:r>
      <w:r w:rsidRPr="00B02ECE">
        <w:rPr>
          <w:rFonts w:ascii="Arial" w:hAnsi="Arial" w:cs="Arial"/>
          <w:sz w:val="20"/>
          <w:szCs w:val="20"/>
        </w:rPr>
        <w:t xml:space="preserve"> use the checklist as well as the criteria</w:t>
      </w:r>
      <w:r w:rsidRPr="00B02ECE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B02ECE">
        <w:rPr>
          <w:rFonts w:ascii="Arial" w:hAnsi="Arial" w:cs="Arial"/>
          <w:sz w:val="20"/>
          <w:szCs w:val="20"/>
        </w:rPr>
        <w:t xml:space="preserve"> below in assessing event applications</w:t>
      </w:r>
      <w:r w:rsidR="00E22F85" w:rsidRPr="00B02ECE">
        <w:rPr>
          <w:rFonts w:ascii="Arial" w:hAnsi="Arial" w:cs="Arial"/>
          <w:sz w:val="20"/>
          <w:szCs w:val="20"/>
        </w:rPr>
        <w:t xml:space="preserve">: </w:t>
      </w:r>
    </w:p>
    <w:p w14:paraId="1D1C0C4F" w14:textId="77777777" w:rsidR="00B02ECE" w:rsidRPr="00B02ECE" w:rsidRDefault="00B02ECE" w:rsidP="00E404D6">
      <w:pPr>
        <w:pStyle w:val="Default"/>
        <w:ind w:left="-426" w:right="-447"/>
        <w:rPr>
          <w:rFonts w:ascii="Arial" w:hAnsi="Arial" w:cs="Arial"/>
          <w:sz w:val="20"/>
          <w:szCs w:val="20"/>
        </w:rPr>
      </w:pPr>
    </w:p>
    <w:p w14:paraId="536277C1" w14:textId="77143D82" w:rsidR="00E22F85" w:rsidRPr="00B02ECE" w:rsidRDefault="00055649" w:rsidP="00E404D6">
      <w:pPr>
        <w:pStyle w:val="Default"/>
        <w:numPr>
          <w:ilvl w:val="0"/>
          <w:numId w:val="18"/>
        </w:numPr>
        <w:ind w:left="0" w:right="-447" w:hanging="284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b/>
          <w:bCs/>
          <w:sz w:val="20"/>
          <w:szCs w:val="20"/>
        </w:rPr>
        <w:t>The e</w:t>
      </w:r>
      <w:r w:rsidR="00E22F85" w:rsidRPr="00B02ECE">
        <w:rPr>
          <w:rFonts w:ascii="Arial" w:hAnsi="Arial" w:cs="Arial"/>
          <w:b/>
          <w:bCs/>
          <w:sz w:val="20"/>
          <w:szCs w:val="20"/>
        </w:rPr>
        <w:t xml:space="preserve">pidemiological context in which the event takes place </w:t>
      </w:r>
      <w:r w:rsidR="00D33DDD">
        <w:rPr>
          <w:rFonts w:ascii="Arial" w:hAnsi="Arial" w:cs="Arial"/>
          <w:b/>
          <w:bCs/>
          <w:sz w:val="20"/>
          <w:szCs w:val="20"/>
        </w:rPr>
        <w:t>–</w:t>
      </w:r>
      <w:r w:rsidR="00E22F85" w:rsidRPr="00B02ECE">
        <w:rPr>
          <w:rFonts w:ascii="Arial" w:hAnsi="Arial" w:cs="Arial"/>
          <w:b/>
          <w:bCs/>
          <w:sz w:val="20"/>
          <w:szCs w:val="20"/>
        </w:rPr>
        <w:t xml:space="preserve"> </w:t>
      </w:r>
      <w:r w:rsidR="00E22F85" w:rsidRPr="00B02ECE">
        <w:rPr>
          <w:rFonts w:ascii="Arial" w:hAnsi="Arial" w:cs="Arial"/>
          <w:sz w:val="20"/>
          <w:szCs w:val="20"/>
        </w:rPr>
        <w:t>the</w:t>
      </w:r>
      <w:r w:rsidR="00D33DDD">
        <w:rPr>
          <w:rFonts w:ascii="Arial" w:hAnsi="Arial" w:cs="Arial"/>
          <w:sz w:val="20"/>
          <w:szCs w:val="20"/>
        </w:rPr>
        <w:t xml:space="preserve"> </w:t>
      </w:r>
      <w:r w:rsidR="00E22F85" w:rsidRPr="00B02ECE">
        <w:rPr>
          <w:rFonts w:ascii="Arial" w:hAnsi="Arial" w:cs="Arial"/>
          <w:sz w:val="20"/>
          <w:szCs w:val="20"/>
        </w:rPr>
        <w:t>host country’s existing regulations on public health measures to control spread of COVID-19, which reflects the intensity of transmission in the area</w:t>
      </w:r>
      <w:r w:rsidR="00D33DDD">
        <w:rPr>
          <w:rFonts w:ascii="Arial" w:hAnsi="Arial" w:cs="Arial"/>
          <w:sz w:val="20"/>
          <w:szCs w:val="20"/>
        </w:rPr>
        <w:t>;</w:t>
      </w:r>
    </w:p>
    <w:p w14:paraId="03991509" w14:textId="1F669B0D" w:rsidR="00E22F85" w:rsidRPr="00B02ECE" w:rsidRDefault="00E22F85" w:rsidP="00E404D6">
      <w:pPr>
        <w:pStyle w:val="Default"/>
        <w:numPr>
          <w:ilvl w:val="0"/>
          <w:numId w:val="18"/>
        </w:numPr>
        <w:ind w:left="0" w:right="-447" w:hanging="284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b/>
          <w:bCs/>
          <w:sz w:val="20"/>
          <w:szCs w:val="20"/>
        </w:rPr>
        <w:t xml:space="preserve">Evaluation of risk factors associated with the event </w:t>
      </w:r>
      <w:r w:rsidRPr="00B02ECE">
        <w:rPr>
          <w:rFonts w:ascii="Arial" w:hAnsi="Arial" w:cs="Arial"/>
          <w:sz w:val="20"/>
          <w:szCs w:val="20"/>
        </w:rPr>
        <w:t xml:space="preserve">– appraisal of the likelihood that the event may contribute to the spread of COVID-19 and that the health services capacity may be exceeded by such spread; </w:t>
      </w:r>
    </w:p>
    <w:p w14:paraId="5425069F" w14:textId="7D973D6C" w:rsidR="00E22F85" w:rsidRPr="00B02ECE" w:rsidRDefault="00E22F85" w:rsidP="00E404D6">
      <w:pPr>
        <w:pStyle w:val="Default"/>
        <w:numPr>
          <w:ilvl w:val="0"/>
          <w:numId w:val="18"/>
        </w:numPr>
        <w:ind w:left="0" w:right="-447" w:hanging="284"/>
        <w:rPr>
          <w:rFonts w:ascii="Arial" w:hAnsi="Arial" w:cs="Arial"/>
          <w:sz w:val="20"/>
          <w:szCs w:val="20"/>
        </w:rPr>
      </w:pPr>
      <w:r w:rsidRPr="00B02ECE">
        <w:rPr>
          <w:rFonts w:ascii="Arial" w:hAnsi="Arial" w:cs="Arial"/>
          <w:b/>
          <w:bCs/>
          <w:sz w:val="20"/>
          <w:szCs w:val="20"/>
        </w:rPr>
        <w:t xml:space="preserve">Capacity to apply prevention and control measures </w:t>
      </w:r>
      <w:r w:rsidR="00D33DDD">
        <w:rPr>
          <w:rFonts w:ascii="Arial" w:hAnsi="Arial" w:cs="Arial"/>
          <w:b/>
          <w:bCs/>
          <w:sz w:val="20"/>
          <w:szCs w:val="20"/>
        </w:rPr>
        <w:t>–</w:t>
      </w:r>
      <w:r w:rsidRPr="00B02E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2ECE">
        <w:rPr>
          <w:rFonts w:ascii="Arial" w:hAnsi="Arial" w:cs="Arial"/>
          <w:sz w:val="20"/>
          <w:szCs w:val="20"/>
        </w:rPr>
        <w:t>the</w:t>
      </w:r>
      <w:r w:rsidR="00D33DDD">
        <w:rPr>
          <w:rFonts w:ascii="Arial" w:hAnsi="Arial" w:cs="Arial"/>
          <w:sz w:val="20"/>
          <w:szCs w:val="20"/>
        </w:rPr>
        <w:t xml:space="preserve"> </w:t>
      </w:r>
      <w:r w:rsidRPr="00B02ECE">
        <w:rPr>
          <w:rFonts w:ascii="Arial" w:hAnsi="Arial" w:cs="Arial"/>
          <w:sz w:val="20"/>
          <w:szCs w:val="20"/>
        </w:rPr>
        <w:t xml:space="preserve">ability to implement actions that can reduce the risks associated with the event. </w:t>
      </w:r>
    </w:p>
    <w:p w14:paraId="3830F920" w14:textId="77777777" w:rsidR="00055649" w:rsidRPr="00B02ECE" w:rsidRDefault="00055649" w:rsidP="00B02ECE">
      <w:pPr>
        <w:pStyle w:val="Default"/>
        <w:ind w:left="720"/>
        <w:rPr>
          <w:rFonts w:ascii="Arial" w:hAnsi="Arial" w:cs="Arial"/>
          <w:sz w:val="20"/>
          <w:szCs w:val="20"/>
        </w:rPr>
      </w:pPr>
    </w:p>
    <w:p w14:paraId="11F1731E" w14:textId="5810FD40" w:rsidR="00F360CD" w:rsidRPr="00E404D6" w:rsidRDefault="006D29C7" w:rsidP="00B02ECE">
      <w:pPr>
        <w:spacing w:after="0" w:line="240" w:lineRule="auto"/>
        <w:rPr>
          <w:rFonts w:ascii="Arial" w:hAnsi="Arial" w:cs="Arial"/>
          <w:b/>
          <w:bCs/>
        </w:rPr>
      </w:pPr>
      <w:r w:rsidRPr="00E404D6">
        <w:rPr>
          <w:rFonts w:ascii="Arial" w:hAnsi="Arial" w:cs="Arial"/>
          <w:b/>
          <w:bCs/>
        </w:rPr>
        <w:t xml:space="preserve">COVID-19 </w:t>
      </w:r>
      <w:r w:rsidR="00F360CD" w:rsidRPr="00E404D6">
        <w:rPr>
          <w:rFonts w:ascii="Arial" w:hAnsi="Arial" w:cs="Arial"/>
          <w:b/>
          <w:bCs/>
        </w:rPr>
        <w:t>Risk Assessmen</w:t>
      </w:r>
      <w:r w:rsidR="00055649" w:rsidRPr="00E404D6">
        <w:rPr>
          <w:rFonts w:ascii="Arial" w:hAnsi="Arial" w:cs="Arial"/>
          <w:b/>
          <w:bCs/>
        </w:rPr>
        <w:t>t</w:t>
      </w:r>
    </w:p>
    <w:p w14:paraId="1ED07631" w14:textId="77777777" w:rsidR="00B02ECE" w:rsidRPr="00B02ECE" w:rsidRDefault="00B02ECE" w:rsidP="00B02EC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dTable2-Accent1"/>
        <w:tblW w:w="151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  <w:gridCol w:w="992"/>
        <w:gridCol w:w="3402"/>
      </w:tblGrid>
      <w:tr w:rsidR="00055649" w:rsidRPr="00B02ECE" w14:paraId="388F4AE5" w14:textId="77777777" w:rsidTr="003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B64438" w14:textId="4616163F" w:rsidR="00055649" w:rsidRPr="00E404D6" w:rsidRDefault="00055649" w:rsidP="00B02EC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404D6">
              <w:rPr>
                <w:rFonts w:ascii="Arial" w:hAnsi="Arial" w:cs="Arial"/>
                <w:sz w:val="21"/>
                <w:szCs w:val="21"/>
              </w:rPr>
              <w:t>Risk Assessment Criteria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63E465" w14:textId="662A7313" w:rsidR="00055649" w:rsidRPr="00E404D6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04D6">
              <w:rPr>
                <w:rFonts w:ascii="Arial" w:hAnsi="Arial" w:cs="Arial"/>
                <w:sz w:val="21"/>
                <w:szCs w:val="21"/>
              </w:rPr>
              <w:t>Yes/</w:t>
            </w:r>
            <w:r w:rsidR="00B02ECE" w:rsidRPr="00E404D6">
              <w:rPr>
                <w:rFonts w:ascii="Arial" w:hAnsi="Arial" w:cs="Arial"/>
                <w:sz w:val="21"/>
                <w:szCs w:val="21"/>
              </w:rPr>
              <w:t>N</w:t>
            </w:r>
            <w:r w:rsidRPr="00E404D6">
              <w:rPr>
                <w:rFonts w:ascii="Arial" w:hAnsi="Arial" w:cs="Arial"/>
                <w:sz w:val="21"/>
                <w:szCs w:val="21"/>
              </w:rPr>
              <w:t>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3DDE8B" w14:textId="06448048" w:rsidR="00055649" w:rsidRPr="00E404D6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E404D6">
              <w:rPr>
                <w:rFonts w:ascii="Arial" w:hAnsi="Arial" w:cs="Arial"/>
                <w:sz w:val="21"/>
                <w:szCs w:val="21"/>
              </w:rPr>
              <w:t>Comments</w:t>
            </w:r>
          </w:p>
        </w:tc>
      </w:tr>
      <w:tr w:rsidR="00055649" w:rsidRPr="00B02ECE" w14:paraId="4ED4CF35" w14:textId="77777777" w:rsidTr="003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09574BD1" w14:textId="2A940F51" w:rsidR="00055649" w:rsidRPr="00B02ECE" w:rsidRDefault="00055649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Organiser has submitted a risk assessment</w:t>
            </w:r>
          </w:p>
        </w:tc>
        <w:tc>
          <w:tcPr>
            <w:tcW w:w="992" w:type="dxa"/>
            <w:vAlign w:val="center"/>
          </w:tcPr>
          <w:p w14:paraId="7504484B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0566E5D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6A89C26A" w14:textId="71F4CCEB" w:rsidTr="00361E5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44CF94BC" w14:textId="0D3C60EF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risk assessment must identify what activity or situations may cause transmission of COVID-19</w:t>
            </w:r>
          </w:p>
        </w:tc>
        <w:tc>
          <w:tcPr>
            <w:tcW w:w="992" w:type="dxa"/>
            <w:vAlign w:val="center"/>
          </w:tcPr>
          <w:p w14:paraId="21980F6B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7663E25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55516126" w14:textId="086AE524" w:rsidTr="003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15D2DC12" w14:textId="3E52E588" w:rsidR="00055649" w:rsidRPr="00B02ECE" w:rsidRDefault="00055649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risk assessment must identify the different groups and individuals that could be at risk of transmission of COVID-19 (e.g. staff, suppliers, performers)</w:t>
            </w:r>
          </w:p>
        </w:tc>
        <w:tc>
          <w:tcPr>
            <w:tcW w:w="992" w:type="dxa"/>
            <w:vAlign w:val="center"/>
          </w:tcPr>
          <w:p w14:paraId="1124EA40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7E54570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5D21D080" w14:textId="01A58560" w:rsidTr="00361E5F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6C5A3EA2" w14:textId="0E611A5E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risk assessment must include how likely it is that someone could be exposed to COVID-19 and where possible, that you have acted to remove any activity or situation that is at risk of transmitting COVID-19. Where not possible, the risk assessment should identify the controls that will be put in place to mitigate the risk of transmitting COVID-19</w:t>
            </w:r>
          </w:p>
        </w:tc>
        <w:tc>
          <w:tcPr>
            <w:tcW w:w="992" w:type="dxa"/>
            <w:vAlign w:val="center"/>
          </w:tcPr>
          <w:p w14:paraId="10CCCCC9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FA6361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66A9D" w14:textId="77777777" w:rsidR="00055649" w:rsidRPr="00B02ECE" w:rsidRDefault="00055649" w:rsidP="00B02ECE">
      <w:pPr>
        <w:spacing w:after="0" w:line="240" w:lineRule="auto"/>
        <w:rPr>
          <w:rFonts w:ascii="Arial" w:hAnsi="Arial" w:cs="Arial"/>
          <w:b/>
          <w:bCs/>
        </w:rPr>
      </w:pPr>
    </w:p>
    <w:p w14:paraId="571685FB" w14:textId="058D8030" w:rsidR="002A05DD" w:rsidRDefault="00F360CD" w:rsidP="00B02EC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02ECE">
        <w:rPr>
          <w:rFonts w:ascii="Arial" w:hAnsi="Arial" w:cs="Arial"/>
          <w:b/>
          <w:bCs/>
          <w:sz w:val="20"/>
          <w:szCs w:val="20"/>
          <w:u w:val="single"/>
        </w:rPr>
        <w:t>Event Plan</w:t>
      </w:r>
    </w:p>
    <w:p w14:paraId="207B7493" w14:textId="77777777" w:rsidR="00B02ECE" w:rsidRPr="00B02ECE" w:rsidRDefault="00B02ECE" w:rsidP="00B02EC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GridTable2-Accent1"/>
        <w:tblW w:w="1515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4"/>
        <w:gridCol w:w="992"/>
        <w:gridCol w:w="3402"/>
      </w:tblGrid>
      <w:tr w:rsidR="00055649" w:rsidRPr="00B02ECE" w14:paraId="5660E6CE" w14:textId="77777777" w:rsidTr="003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A9A" w14:textId="01657E8A" w:rsidR="00055649" w:rsidRPr="00B02ECE" w:rsidRDefault="00055649" w:rsidP="00B0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 w:rsidR="00361E5F">
              <w:rPr>
                <w:rFonts w:ascii="Arial" w:hAnsi="Arial" w:cs="Arial"/>
                <w:sz w:val="20"/>
                <w:szCs w:val="20"/>
              </w:rPr>
              <w:t>D</w:t>
            </w:r>
            <w:r w:rsidRPr="00B02ECE">
              <w:rPr>
                <w:rFonts w:ascii="Arial" w:hAnsi="Arial" w:cs="Arial"/>
                <w:sz w:val="20"/>
                <w:szCs w:val="20"/>
              </w:rPr>
              <w:t xml:space="preserve">istancing; limiting contact </w:t>
            </w:r>
            <w:r w:rsidR="00361E5F">
              <w:rPr>
                <w:rFonts w:ascii="Arial" w:hAnsi="Arial" w:cs="Arial"/>
                <w:sz w:val="20"/>
                <w:szCs w:val="20"/>
              </w:rPr>
              <w:t>c</w:t>
            </w:r>
            <w:r w:rsidRPr="00B02ECE">
              <w:rPr>
                <w:rFonts w:ascii="Arial" w:hAnsi="Arial" w:cs="Arial"/>
                <w:sz w:val="20"/>
                <w:szCs w:val="20"/>
              </w:rPr>
              <w:t>riteria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36B" w14:textId="623A63B9" w:rsidR="00055649" w:rsidRPr="00B02ECE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62908" w14:textId="2672958A" w:rsidR="00055649" w:rsidRPr="00B02ECE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055649" w:rsidRPr="00B02ECE" w14:paraId="11123A6A" w14:textId="2F25DA25" w:rsidTr="00315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4" w:type="dxa"/>
            <w:tcBorders>
              <w:top w:val="single" w:sz="4" w:space="0" w:color="auto"/>
            </w:tcBorders>
            <w:vAlign w:val="center"/>
          </w:tcPr>
          <w:p w14:paraId="2AF4048A" w14:textId="452CC44A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include:</w:t>
            </w:r>
          </w:p>
          <w:p w14:paraId="31A73617" w14:textId="7A09F7DC" w:rsidR="00055649" w:rsidRPr="0031569A" w:rsidRDefault="00055649" w:rsidP="00B02EC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maximum capacity based on COVID secure measures including social distancing</w:t>
            </w:r>
            <w:r w:rsidR="00D33DDD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</w:t>
            </w:r>
            <w:r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 is advis</w:t>
            </w:r>
            <w:r w:rsidR="00D33DDD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ed that </w:t>
            </w:r>
            <w:r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how the capacity has been calculated</w:t>
            </w:r>
            <w:r w:rsidR="00D33DDD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is documented</w:t>
            </w:r>
            <w:r w:rsidR="0031569A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taking into account that people must be in groups of no more than 6 and the requirement that food/drink must be ordered/consumed whilst seated at tables</w:t>
            </w:r>
            <w:r w:rsidR="00D33DDD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). </w:t>
            </w:r>
          </w:p>
          <w:p w14:paraId="76D2EE9D" w14:textId="6D239716" w:rsidR="00B02ECE" w:rsidRPr="0031569A" w:rsidRDefault="00055649" w:rsidP="0031569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numbers of staff/volunteers to ensure COVID secure measures </w:t>
            </w:r>
            <w:proofErr w:type="gramStart"/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are maintained at all times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A788DC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A2E98C7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60D6FEEE" w14:textId="48A7F43E" w:rsidTr="00361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4" w:type="dxa"/>
            <w:vAlign w:val="center"/>
          </w:tcPr>
          <w:p w14:paraId="33F7DB05" w14:textId="5D153C85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plan must detail how </w:t>
            </w:r>
            <w:r w:rsidRPr="00B02ECE">
              <w:rPr>
                <w:rFonts w:ascii="Arial" w:hAnsi="Arial" w:cs="Arial"/>
                <w:sz w:val="20"/>
                <w:szCs w:val="20"/>
              </w:rPr>
              <w:t>SOCIAL DISTANCING</w:t>
            </w: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will be maintained </w:t>
            </w:r>
            <w:r w:rsidRPr="00B02ECE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between:</w:t>
            </w:r>
          </w:p>
          <w:p w14:paraId="469A1E51" w14:textId="2F839C4C" w:rsidR="00055649" w:rsidRPr="00B02ECE" w:rsidRDefault="00055649" w:rsidP="00B02E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attendees who are from different households or support bubbles e.g. maximum capacity, zoning, circulation space, pinch points/congestion areas, entrances/exits, queues, toilets and wash stations, movement flows between areas, seating arrangements, popular activities/exhibits etc</w:t>
            </w:r>
          </w:p>
          <w:p w14:paraId="2189D88D" w14:textId="5D125C86" w:rsidR="00055649" w:rsidRPr="00B02ECE" w:rsidRDefault="00055649" w:rsidP="00B02EC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attendees and staff and performers e.g. staff areas, performance areas, movement flow through attendee areas, ticket and security bag check areas</w:t>
            </w:r>
          </w:p>
        </w:tc>
        <w:tc>
          <w:tcPr>
            <w:tcW w:w="992" w:type="dxa"/>
            <w:vAlign w:val="center"/>
          </w:tcPr>
          <w:p w14:paraId="45082E7F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51C237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0A03B765" w14:textId="5194B410" w:rsidTr="003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4" w:type="dxa"/>
            <w:vAlign w:val="center"/>
          </w:tcPr>
          <w:p w14:paraId="346B9979" w14:textId="11830B54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show COVID-19 safe ingress, egress, and movement through the venue and local area to maintain social distance, and considers:</w:t>
            </w:r>
          </w:p>
          <w:p w14:paraId="1EEB8F60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Travel routes e.g.one way routes between transport hubs and venue (the ‘last mile’ concept), avoiding peak public transport times, </w:t>
            </w:r>
          </w:p>
          <w:p w14:paraId="4DE8163D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Staggered entry / exit times</w:t>
            </w:r>
          </w:p>
          <w:p w14:paraId="5BA9FD1F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Additional entrances / exits points to reduce congestion</w:t>
            </w:r>
          </w:p>
          <w:p w14:paraId="23607BBC" w14:textId="40B458B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One-way entry / exit routes, and one-way routes to and from on-site facilities, e.g. toilets, food and drink areas</w:t>
            </w:r>
          </w:p>
          <w:p w14:paraId="47779D3C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Markings and signage for social distancing</w:t>
            </w:r>
          </w:p>
          <w:p w14:paraId="52D7DAA4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Queue management including surrounding areas</w:t>
            </w:r>
          </w:p>
          <w:p w14:paraId="3DEBA93C" w14:textId="77777777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Sanitisers at entry / exit points</w:t>
            </w:r>
          </w:p>
          <w:p w14:paraId="312FD42B" w14:textId="78451651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Refusing entry to ALL those displaying symptoms – attendees, staff, volunteers, suppliers, delivery drivers, performers, </w:t>
            </w:r>
          </w:p>
          <w:p w14:paraId="14C82C9B" w14:textId="3728B3B9" w:rsidR="00055649" w:rsidRPr="00B02ECE" w:rsidRDefault="00055649" w:rsidP="00B02E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use of barriers/screens/face coverings to protect staff/volunteers where social distancing cannot be maintained</w:t>
            </w:r>
          </w:p>
        </w:tc>
        <w:tc>
          <w:tcPr>
            <w:tcW w:w="992" w:type="dxa"/>
            <w:vAlign w:val="center"/>
          </w:tcPr>
          <w:p w14:paraId="42247142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CC9BDC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4D9FA993" w14:textId="54841CCA" w:rsidTr="00361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4" w:type="dxa"/>
            <w:vAlign w:val="center"/>
          </w:tcPr>
          <w:p w14:paraId="58B0890A" w14:textId="3D1272D8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identify how hand to hand transactions will be limited during the event, e.g. on payment for goods, booking in advance, etc.</w:t>
            </w:r>
          </w:p>
        </w:tc>
        <w:tc>
          <w:tcPr>
            <w:tcW w:w="992" w:type="dxa"/>
            <w:vAlign w:val="center"/>
          </w:tcPr>
          <w:p w14:paraId="769DB012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51515D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99A90" w14:textId="7654AA32" w:rsidR="00F360CD" w:rsidRPr="00B02ECE" w:rsidRDefault="00F360CD" w:rsidP="00B02EC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dTable2-Accent1"/>
        <w:tblW w:w="151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  <w:gridCol w:w="992"/>
        <w:gridCol w:w="3402"/>
      </w:tblGrid>
      <w:tr w:rsidR="00055649" w:rsidRPr="00B02ECE" w14:paraId="7CC6ABE8" w14:textId="77777777" w:rsidTr="003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8BE493" w14:textId="4BA7E350" w:rsidR="00055649" w:rsidRPr="00B02ECE" w:rsidRDefault="00055649" w:rsidP="00B0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Hygiene and Cleaning Criteria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CCBC5C" w14:textId="7A1988DE" w:rsidR="00055649" w:rsidRPr="00B02ECE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662F10F" w14:textId="01395951" w:rsidR="00055649" w:rsidRPr="00B02ECE" w:rsidRDefault="00055649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055649" w:rsidRPr="00B02ECE" w14:paraId="6577842D" w14:textId="78F05B6D" w:rsidTr="003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7B09B8A8" w14:textId="3DA91804" w:rsidR="00055649" w:rsidRPr="00B02ECE" w:rsidRDefault="00055649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plan must </w:t>
            </w:r>
            <w:r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cater for </w:t>
            </w:r>
            <w:r w:rsidR="00E4712F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provision of face coverings for staff and customer use (</w:t>
            </w:r>
            <w:r w:rsidR="0031569A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if being provided</w:t>
            </w:r>
            <w:r w:rsidR="00E4712F"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 as well</w:t>
            </w:r>
            <w:r w:rsidR="00E4712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as </w:t>
            </w: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sufficient number and maintenance of handwashing facilities (with soap and water) and sanitiser points, at multiple locations (e.g. entrances/exits, food/drink areas, toilet areas, etc) including signage on good hand washing and safe disposal of materials</w:t>
            </w:r>
          </w:p>
        </w:tc>
        <w:tc>
          <w:tcPr>
            <w:tcW w:w="992" w:type="dxa"/>
            <w:vAlign w:val="center"/>
          </w:tcPr>
          <w:p w14:paraId="41324B62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F06819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2D4E8C3E" w14:textId="1CD65888" w:rsidTr="00361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35168FA2" w14:textId="24562FE6" w:rsidR="00055649" w:rsidRPr="00B02ECE" w:rsidRDefault="00055649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show how cleaning will be maintained prior, during (including multiday) and after the event; including cleaning regimes and waste disposal management for:</w:t>
            </w:r>
          </w:p>
          <w:p w14:paraId="3D911929" w14:textId="77777777" w:rsidR="00055649" w:rsidRPr="00B02ECE" w:rsidRDefault="00055649" w:rsidP="00B0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high contact surfaces and equipment</w:t>
            </w:r>
          </w:p>
          <w:p w14:paraId="027F1589" w14:textId="77777777" w:rsidR="00055649" w:rsidRPr="00B02ECE" w:rsidRDefault="00055649" w:rsidP="00B0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work areas</w:t>
            </w:r>
          </w:p>
          <w:p w14:paraId="6069E1DD" w14:textId="77777777" w:rsidR="00055649" w:rsidRPr="00B02ECE" w:rsidRDefault="00055649" w:rsidP="00B0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barriers / screens</w:t>
            </w:r>
          </w:p>
          <w:p w14:paraId="590AC4DC" w14:textId="4C286300" w:rsidR="00055649" w:rsidRPr="00B02ECE" w:rsidRDefault="00055649" w:rsidP="00B02EC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toilets and washing facilities, ensuring frequent removal of waste materials</w:t>
            </w:r>
          </w:p>
        </w:tc>
        <w:tc>
          <w:tcPr>
            <w:tcW w:w="992" w:type="dxa"/>
            <w:vAlign w:val="center"/>
          </w:tcPr>
          <w:p w14:paraId="51CEE308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0F1DE4" w14:textId="77777777" w:rsidR="00055649" w:rsidRPr="00B02ECE" w:rsidRDefault="00055649" w:rsidP="00B02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649" w:rsidRPr="00B02ECE" w14:paraId="43C9D083" w14:textId="6CFA8E6A" w:rsidTr="00361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vAlign w:val="center"/>
          </w:tcPr>
          <w:p w14:paraId="590DC4D1" w14:textId="1F7EDF45" w:rsidR="00055649" w:rsidRPr="00B02ECE" w:rsidRDefault="00055649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The plan must show how performers will be protected from the risk of COVID-19 transmission and considers:</w:t>
            </w:r>
          </w:p>
          <w:p w14:paraId="00447B7E" w14:textId="77777777" w:rsidR="00055649" w:rsidRPr="00B02ECE" w:rsidRDefault="00055649" w:rsidP="00B02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avoiding sharing professional equipment and personal items e.g. labelling with name of designated user, personal headsets/radios/earpieces</w:t>
            </w:r>
          </w:p>
          <w:p w14:paraId="30F04987" w14:textId="77777777" w:rsidR="00055649" w:rsidRPr="00B02ECE" w:rsidRDefault="00055649" w:rsidP="00B02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regular cleaning and disinfection of equipment</w:t>
            </w:r>
          </w:p>
          <w:p w14:paraId="0D417D1D" w14:textId="77777777" w:rsidR="00055649" w:rsidRPr="00B02ECE" w:rsidRDefault="00055649" w:rsidP="00B02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singing by performers only e.g. avoid face to face singing and position back to back or side to side, extend social distancing to 3 metres or more between singers and others, limit numbers in singing groups, utilise technology</w:t>
            </w:r>
          </w:p>
          <w:p w14:paraId="24697670" w14:textId="77777777" w:rsidR="00055649" w:rsidRPr="00B02ECE" w:rsidRDefault="00055649" w:rsidP="00B02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Singing and playing of wind or brass instruments is limited to professionals only.</w:t>
            </w:r>
          </w:p>
        </w:tc>
        <w:tc>
          <w:tcPr>
            <w:tcW w:w="992" w:type="dxa"/>
            <w:vAlign w:val="center"/>
          </w:tcPr>
          <w:p w14:paraId="5C9436BA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36697F" w14:textId="77777777" w:rsidR="00055649" w:rsidRPr="00B02ECE" w:rsidRDefault="00055649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A7533" w14:textId="4A2631AF" w:rsidR="00F360CD" w:rsidRPr="00B02ECE" w:rsidRDefault="00F360CD" w:rsidP="00B02E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2-Accent1"/>
        <w:tblW w:w="151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  <w:gridCol w:w="992"/>
        <w:gridCol w:w="3402"/>
      </w:tblGrid>
      <w:tr w:rsidR="00F579D3" w:rsidRPr="00B02ECE" w14:paraId="502CC2BC" w14:textId="5514AD02" w:rsidTr="003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7BA31A" w14:textId="26E310BB" w:rsidR="00F579D3" w:rsidRPr="00B02ECE" w:rsidRDefault="00F579D3" w:rsidP="00B0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Possible/confirmed case management Criteria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D4D892" w14:textId="65390E0A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3E0543" w14:textId="5AB307BA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579D3" w:rsidRPr="00B02ECE" w14:paraId="6075A8A3" w14:textId="075CA586" w:rsidTr="0070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0E8C66E0" w14:textId="66AE6DA1" w:rsidR="00F579D3" w:rsidRPr="00B02ECE" w:rsidRDefault="00F579D3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demonstrate:</w:t>
            </w:r>
          </w:p>
          <w:p w14:paraId="1098D664" w14:textId="3A994075" w:rsidR="00F579D3" w:rsidRPr="00B02ECE" w:rsidRDefault="00F579D3" w:rsidP="00B02E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 the event can be delivered safely, including the measures to take for someone with COVID-19 symptoms (e.g. on site isolation areas, cleaning guidance following a possible or confirmed case of COVID-19, use of personal protective equipment, communication pathways with NHS and ambulance services)</w:t>
            </w:r>
          </w:p>
          <w:p w14:paraId="58FEB18C" w14:textId="5B321EF2" w:rsidR="00F579D3" w:rsidRPr="00B02ECE" w:rsidRDefault="00F579D3" w:rsidP="00B02E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 staff training and briefings on escalating reports of possible or confirmed cases of COVID-19 at the event has been undertaken</w:t>
            </w:r>
          </w:p>
          <w:p w14:paraId="3B1D9169" w14:textId="567C0330" w:rsidR="00704078" w:rsidRPr="00704078" w:rsidRDefault="00F579D3" w:rsidP="0070407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how the contact details for ALL those present at the event will be recorded and stored for 21 days, to assist </w:t>
            </w:r>
            <w:r w:rsidR="00704078"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with requests for the data if needed</w:t>
            </w:r>
            <w:r w:rsidR="00704078"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7040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 per </w:t>
            </w:r>
            <w:hyperlink r:id="rId11" w:history="1">
              <w:r w:rsidRPr="00704078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NHS Test and Trace guidance</w:t>
              </w:r>
            </w:hyperlink>
            <w:r w:rsidR="007040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17C07CA7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46B26A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8B070A" w14:textId="65C8D0FD" w:rsidR="00F360CD" w:rsidRPr="00B02ECE" w:rsidRDefault="00F360CD" w:rsidP="00B02EC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dTable2-Accent11"/>
        <w:tblW w:w="151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  <w:gridCol w:w="992"/>
        <w:gridCol w:w="3402"/>
      </w:tblGrid>
      <w:tr w:rsidR="00F579D3" w:rsidRPr="00B02ECE" w14:paraId="26D66300" w14:textId="31D31C23" w:rsidTr="00361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B9B80C" w14:textId="111A912C" w:rsidR="00F579D3" w:rsidRPr="00B02ECE" w:rsidRDefault="00F579D3" w:rsidP="00B0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Communications Criteria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9A453A" w14:textId="26BDA7AE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EB2995" w14:textId="3932FAFE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579D3" w:rsidRPr="00B02ECE" w14:paraId="6DDDCB54" w14:textId="7AA6FBD0" w:rsidTr="009E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2B7AF3B7" w14:textId="3E775B49" w:rsidR="00F579D3" w:rsidRPr="00B02ECE" w:rsidRDefault="00F579D3" w:rsidP="00B02E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demonstrate how communication with attendees will be made for:</w:t>
            </w:r>
          </w:p>
          <w:p w14:paraId="26E480A9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short notice cancellation in a way they would prevent large numbers of people ‘crowding’ near the venue site</w:t>
            </w:r>
          </w:p>
          <w:p w14:paraId="27288A52" w14:textId="41694E9C" w:rsidR="00F579D3" w:rsidRPr="00B02ECE" w:rsidRDefault="002877EB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156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display of NHS QR code posters and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F579D3"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ensuring ALL attendees provide contact details to organiser to assist NHS Test and Trace e.g. under terms of booking </w:t>
            </w:r>
          </w:p>
          <w:p w14:paraId="594F24BC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providing POSTCODE OF VENUE to enable attendees to provide this to NHS Test and Trace should they become symptomatic, to aid outbreak identification. </w:t>
            </w:r>
          </w:p>
          <w:p w14:paraId="4C411BEF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reminding attendees to wear face coverings when using public transport or in enclosed areas as per </w:t>
            </w:r>
            <w:hyperlink r:id="rId12" w:history="1">
              <w:r w:rsidRPr="00B02ECE">
                <w:rPr>
                  <w:rFonts w:ascii="Arial" w:hAnsi="Arial" w:cs="Arial"/>
                  <w:b w:val="0"/>
                  <w:bCs w:val="0"/>
                  <w:color w:val="0563C1" w:themeColor="hyperlink"/>
                  <w:sz w:val="20"/>
                  <w:szCs w:val="20"/>
                  <w:u w:val="single"/>
                </w:rPr>
                <w:t>government guidance on face coverings</w:t>
              </w:r>
            </w:hyperlink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78D97F48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adherence to a code of behaviour i.e. not attending if they have symptoms and /or are self-isolating, maintaining social distancing at the venue, hand hygiene and minimising spread of respiratory droplets (through tissue etiquette) e.g. under terms of booking</w:t>
            </w:r>
          </w:p>
          <w:p w14:paraId="4AF4D6BB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re-enforcing message that entry will be refused if displaying symptoms and will be asked to return home via private transport, if they are able to do so.</w:t>
            </w:r>
          </w:p>
          <w:p w14:paraId="2DDE9B3A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providing information to attendees about risk factors that may make them more susceptible to serious illness from COVID-19, so they can make an informed choice about their personal risk relating to their attendance</w:t>
            </w:r>
          </w:p>
          <w:p w14:paraId="4FF5CAFF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advising about the hand hygiene facilities on site</w:t>
            </w:r>
          </w:p>
          <w:p w14:paraId="23798B0E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minimising hand to hand transactions on site</w:t>
            </w:r>
          </w:p>
          <w:p w14:paraId="08D85994" w14:textId="77777777" w:rsidR="00F579D3" w:rsidRPr="00B02ECE" w:rsidRDefault="00F579D3" w:rsidP="00B02ECE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bringing as few items as possible to the event</w:t>
            </w:r>
          </w:p>
        </w:tc>
        <w:tc>
          <w:tcPr>
            <w:tcW w:w="992" w:type="dxa"/>
          </w:tcPr>
          <w:p w14:paraId="2FD8A19F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174DB9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74881" w14:textId="333441E0" w:rsidR="009E594E" w:rsidRDefault="009E594E" w:rsidP="00B02EC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6D0104E" w14:textId="77777777" w:rsidR="00CB20FE" w:rsidRPr="00B02ECE" w:rsidRDefault="00CB20FE" w:rsidP="00B02EC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dTable2-Accent1"/>
        <w:tblW w:w="1516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9"/>
        <w:gridCol w:w="992"/>
        <w:gridCol w:w="3402"/>
      </w:tblGrid>
      <w:tr w:rsidR="00F579D3" w:rsidRPr="00B02ECE" w14:paraId="33C98B8E" w14:textId="03B7F492" w:rsidTr="009E5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EE3DE7" w14:textId="1CAAF807" w:rsidR="00F579D3" w:rsidRPr="00B02ECE" w:rsidRDefault="00F579D3" w:rsidP="00B02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Training Criteria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483471" w14:textId="6D22EDBF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2E2ACE" w14:textId="660F1872" w:rsidR="00F579D3" w:rsidRPr="00B02ECE" w:rsidRDefault="00F579D3" w:rsidP="00B02E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F579D3" w:rsidRPr="00B02ECE" w14:paraId="188D4917" w14:textId="5D2D0049" w:rsidTr="009E5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</w:tcPr>
          <w:p w14:paraId="403430FA" w14:textId="1E69C690" w:rsidR="00F579D3" w:rsidRPr="00B02ECE" w:rsidRDefault="00F579D3" w:rsidP="00B02ECE">
            <w:p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plan must show how staff/volunteers/independent vendors on site will be trained and briefed on COVID-19 secure measures and protected from the risk of COVID-19 transmission while:</w:t>
            </w:r>
          </w:p>
          <w:p w14:paraId="2D47B14D" w14:textId="77777777" w:rsidR="00F579D3" w:rsidRPr="00B02ECE" w:rsidRDefault="00F579D3" w:rsidP="00B02E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providing goods / services e.g. working in fixed teams, use of barriers/screens, sufficient space to maintain social distancing within work area, hand washing facilities, training on correct use of face coverings</w:t>
            </w:r>
          </w:p>
          <w:p w14:paraId="32699F94" w14:textId="77777777" w:rsidR="00F579D3" w:rsidRPr="00B02ECE" w:rsidRDefault="00F579D3" w:rsidP="00B02E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providing emergency medical assistance e.g. appropriate PPE</w:t>
            </w:r>
          </w:p>
          <w:p w14:paraId="191BCAFB" w14:textId="77777777" w:rsidR="00F579D3" w:rsidRPr="00B02ECE" w:rsidRDefault="00F579D3" w:rsidP="00B02E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managing security, including dealing with constant breaches in social distancing</w:t>
            </w:r>
          </w:p>
          <w:p w14:paraId="5A46CD55" w14:textId="77777777" w:rsidR="00F579D3" w:rsidRPr="00B02ECE" w:rsidRDefault="00F579D3" w:rsidP="00B02E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02EC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 rest breaks</w:t>
            </w:r>
          </w:p>
        </w:tc>
        <w:tc>
          <w:tcPr>
            <w:tcW w:w="992" w:type="dxa"/>
          </w:tcPr>
          <w:p w14:paraId="5D9B9ED4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70CACF" w14:textId="77777777" w:rsidR="00F579D3" w:rsidRPr="00B02ECE" w:rsidRDefault="00F579D3" w:rsidP="00B0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841E1" w14:textId="6A8F0FA7" w:rsidR="00CB20FE" w:rsidRDefault="00CB20FE" w:rsidP="00B02ECE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586A37" w14:textId="77777777" w:rsidR="00361E5F" w:rsidRPr="00B02ECE" w:rsidRDefault="00361E5F" w:rsidP="009E594E">
      <w:pPr>
        <w:spacing w:after="24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8F66A0" w14:textId="67CBE91E" w:rsidR="00E22F85" w:rsidRPr="009E594E" w:rsidRDefault="00E22F85" w:rsidP="009E594E">
      <w:pPr>
        <w:spacing w:after="240" w:line="240" w:lineRule="auto"/>
        <w:rPr>
          <w:rFonts w:ascii="Arial" w:hAnsi="Arial" w:cs="Arial"/>
          <w:b/>
          <w:bCs/>
          <w:sz w:val="20"/>
          <w:szCs w:val="20"/>
        </w:rPr>
      </w:pPr>
      <w:r w:rsidRPr="009E594E">
        <w:rPr>
          <w:rFonts w:ascii="Arial" w:hAnsi="Arial" w:cs="Arial"/>
          <w:b/>
          <w:bCs/>
          <w:sz w:val="20"/>
          <w:szCs w:val="20"/>
        </w:rPr>
        <w:t>Further advice maybe found at</w:t>
      </w:r>
      <w:r w:rsidR="00B02ECE" w:rsidRPr="009E594E">
        <w:rPr>
          <w:rFonts w:ascii="Arial" w:hAnsi="Arial" w:cs="Arial"/>
          <w:b/>
          <w:bCs/>
          <w:sz w:val="20"/>
          <w:szCs w:val="20"/>
        </w:rPr>
        <w:t>:</w:t>
      </w:r>
    </w:p>
    <w:p w14:paraId="38D7B4F1" w14:textId="77777777" w:rsidR="00704078" w:rsidRPr="00704078" w:rsidRDefault="00704078" w:rsidP="009E594E">
      <w:pPr>
        <w:spacing w:after="240" w:line="240" w:lineRule="auto"/>
        <w:rPr>
          <w:rStyle w:val="Hyperlink"/>
          <w:rFonts w:ascii="Arial" w:eastAsia="Calibri" w:hAnsi="Arial"/>
          <w:sz w:val="20"/>
          <w:szCs w:val="20"/>
        </w:rPr>
      </w:pPr>
      <w:hyperlink r:id="rId13" w:history="1">
        <w:r w:rsidRPr="00704078">
          <w:rPr>
            <w:rStyle w:val="Hyperlink"/>
            <w:rFonts w:ascii="Arial" w:eastAsia="Calibri" w:hAnsi="Arial" w:cs="Arial"/>
            <w:sz w:val="20"/>
            <w:szCs w:val="20"/>
          </w:rPr>
          <w:t>Event Industry Forum - Event Guidance and Key Considerations</w:t>
        </w:r>
      </w:hyperlink>
    </w:p>
    <w:p w14:paraId="6E79755E" w14:textId="77777777" w:rsidR="00704078" w:rsidRPr="00704078" w:rsidRDefault="00704078" w:rsidP="009E594E">
      <w:pPr>
        <w:spacing w:after="240" w:line="240" w:lineRule="auto"/>
        <w:rPr>
          <w:rStyle w:val="Hyperlink"/>
          <w:rFonts w:ascii="Arial" w:eastAsia="Calibri" w:hAnsi="Arial"/>
          <w:sz w:val="20"/>
          <w:szCs w:val="20"/>
        </w:rPr>
      </w:pPr>
      <w:hyperlink r:id="rId14" w:history="1">
        <w:r w:rsidRPr="00704078">
          <w:rPr>
            <w:rStyle w:val="Hyperlink"/>
            <w:rFonts w:ascii="Arial" w:eastAsia="Calibri" w:hAnsi="Arial" w:cs="Arial"/>
            <w:sz w:val="20"/>
            <w:szCs w:val="20"/>
          </w:rPr>
          <w:t>Purple Guide Supplementary Guidance</w:t>
        </w:r>
      </w:hyperlink>
    </w:p>
    <w:p w14:paraId="2AF0A085" w14:textId="77777777" w:rsidR="00704078" w:rsidRPr="00704078" w:rsidRDefault="00704078" w:rsidP="009E594E">
      <w:pPr>
        <w:spacing w:after="240" w:line="240" w:lineRule="auto"/>
        <w:rPr>
          <w:rStyle w:val="Hyperlink"/>
          <w:rFonts w:ascii="Arial" w:eastAsia="Calibri" w:hAnsi="Arial"/>
          <w:sz w:val="20"/>
          <w:szCs w:val="20"/>
        </w:rPr>
      </w:pPr>
      <w:hyperlink r:id="rId15" w:history="1">
        <w:r w:rsidRPr="00704078">
          <w:rPr>
            <w:rStyle w:val="Hyperlink"/>
            <w:rFonts w:ascii="Arial" w:eastAsia="Calibri" w:hAnsi="Arial" w:cs="Arial"/>
            <w:sz w:val="20"/>
            <w:szCs w:val="20"/>
          </w:rPr>
          <w:t>Association of Event Organisers - Risk Assessment Templates</w:t>
        </w:r>
      </w:hyperlink>
    </w:p>
    <w:p w14:paraId="03976E3A" w14:textId="77777777" w:rsidR="00EC7384" w:rsidRDefault="00EC7384" w:rsidP="00EC7384">
      <w:pPr>
        <w:spacing w:after="24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Government Guidance - What you can and cannot do</w:t>
        </w:r>
      </w:hyperlink>
    </w:p>
    <w:p w14:paraId="02B1DECF" w14:textId="77777777" w:rsidR="00EC7384" w:rsidRPr="00B02ECE" w:rsidRDefault="00EC7384" w:rsidP="00EC7384">
      <w:pPr>
        <w:spacing w:after="240" w:line="240" w:lineRule="auto"/>
        <w:rPr>
          <w:rFonts w:ascii="Arial" w:hAnsi="Arial" w:cs="Arial"/>
          <w:sz w:val="20"/>
          <w:szCs w:val="20"/>
        </w:rPr>
      </w:pPr>
      <w:hyperlink r:id="rId17" w:history="1">
        <w:r w:rsidRPr="00EC7384">
          <w:rPr>
            <w:rStyle w:val="Hyperlink"/>
            <w:rFonts w:ascii="Arial" w:hAnsi="Arial" w:cs="Arial"/>
            <w:sz w:val="20"/>
            <w:szCs w:val="20"/>
          </w:rPr>
          <w:t>Government Guidance - Organised Events</w:t>
        </w:r>
      </w:hyperlink>
    </w:p>
    <w:p w14:paraId="7336AB9F" w14:textId="763C8402" w:rsidR="009E594E" w:rsidRPr="009E594E" w:rsidRDefault="009E594E" w:rsidP="009E594E">
      <w:pPr>
        <w:spacing w:after="24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Government Guidance - Visitor Economy</w:t>
        </w:r>
      </w:hyperlink>
    </w:p>
    <w:p w14:paraId="5A752F19" w14:textId="23B95810" w:rsidR="009E594E" w:rsidRPr="00B02ECE" w:rsidRDefault="009E594E" w:rsidP="009E594E">
      <w:pPr>
        <w:spacing w:after="240" w:line="240" w:lineRule="auto"/>
        <w:rPr>
          <w:rFonts w:ascii="Arial" w:eastAsia="Calibri" w:hAnsi="Arial" w:cs="Arial"/>
          <w:sz w:val="20"/>
          <w:szCs w:val="20"/>
        </w:rPr>
      </w:pPr>
      <w:hyperlink r:id="rId19" w:history="1">
        <w:r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Government Guidance - Performing Arts</w:t>
        </w:r>
      </w:hyperlink>
    </w:p>
    <w:p w14:paraId="5C9CAA32" w14:textId="2A994937" w:rsidR="009E594E" w:rsidRDefault="009E594E" w:rsidP="009E594E">
      <w:pPr>
        <w:spacing w:after="240" w:line="240" w:lineRule="auto"/>
        <w:rPr>
          <w:rStyle w:val="Hyperlink"/>
          <w:rFonts w:ascii="Arial" w:hAnsi="Arial" w:cs="Arial"/>
          <w:sz w:val="20"/>
          <w:szCs w:val="20"/>
        </w:rPr>
      </w:pP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Government Guidance - Phased Return of Sport and Recreation</w:t>
        </w:r>
      </w:hyperlink>
    </w:p>
    <w:p w14:paraId="35A93EB7" w14:textId="77777777" w:rsidR="00704078" w:rsidRPr="00B02ECE" w:rsidRDefault="00704078" w:rsidP="00B02ECE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704078" w:rsidRPr="00B02ECE" w:rsidSect="0031569A">
      <w:footerReference w:type="default" r:id="rId21"/>
      <w:headerReference w:type="first" r:id="rId22"/>
      <w:footerReference w:type="first" r:id="rId23"/>
      <w:pgSz w:w="16838" w:h="11906" w:orient="landscape"/>
      <w:pgMar w:top="426" w:right="1103" w:bottom="851" w:left="1440" w:header="426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4FD3" w14:textId="77777777" w:rsidR="00466D97" w:rsidRDefault="00466D97" w:rsidP="00055649">
      <w:pPr>
        <w:spacing w:after="0" w:line="240" w:lineRule="auto"/>
      </w:pPr>
      <w:r>
        <w:separator/>
      </w:r>
    </w:p>
  </w:endnote>
  <w:endnote w:type="continuationSeparator" w:id="0">
    <w:p w14:paraId="0E4B6C50" w14:textId="77777777" w:rsidR="00466D97" w:rsidRDefault="00466D97" w:rsidP="0005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918882"/>
      <w:docPartObj>
        <w:docPartGallery w:val="Page Numbers (Bottom of Page)"/>
        <w:docPartUnique/>
      </w:docPartObj>
    </w:sdtPr>
    <w:sdtEndPr/>
    <w:sdtContent>
      <w:sdt>
        <w:sdtPr>
          <w:id w:val="-673345555"/>
          <w:docPartObj>
            <w:docPartGallery w:val="Page Numbers (Top of Page)"/>
            <w:docPartUnique/>
          </w:docPartObj>
        </w:sdtPr>
        <w:sdtEndPr/>
        <w:sdtContent>
          <w:p w14:paraId="72F4313B" w14:textId="6FF029EB" w:rsidR="00B02ECE" w:rsidRDefault="00B02ECE" w:rsidP="00361E5F">
            <w:pPr>
              <w:pStyle w:val="Footer"/>
            </w:pPr>
            <w:r w:rsidRPr="00B02ECE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9E594E">
              <w:rPr>
                <w:rFonts w:ascii="Arial" w:hAnsi="Arial" w:cs="Arial"/>
                <w:sz w:val="20"/>
                <w:szCs w:val="20"/>
              </w:rPr>
              <w:t>5</w:t>
            </w:r>
            <w:r w:rsidR="003156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94E">
              <w:rPr>
                <w:rFonts w:ascii="Arial" w:hAnsi="Arial" w:cs="Arial"/>
                <w:sz w:val="20"/>
                <w:szCs w:val="20"/>
              </w:rPr>
              <w:t>May 2021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2EC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EC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EC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02EC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02EC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EC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02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AA6C1CD" w14:textId="77777777" w:rsidR="00B02ECE" w:rsidRDefault="00B0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7225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BAD292" w14:textId="55232973" w:rsidR="00B02ECE" w:rsidRPr="00B02ECE" w:rsidRDefault="009E594E" w:rsidP="00B02ECE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9E594E">
              <w:rPr>
                <w:rFonts w:ascii="Arial" w:hAnsi="Arial" w:cs="Arial"/>
                <w:sz w:val="20"/>
                <w:szCs w:val="20"/>
              </w:rPr>
              <w:t>Version 5 May 2021</w:t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>
              <w:rPr>
                <w:rFonts w:ascii="Arial" w:hAnsi="Arial" w:cs="Arial"/>
                <w:sz w:val="20"/>
                <w:szCs w:val="20"/>
              </w:rPr>
              <w:tab/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ECE" w:rsidRPr="00B02EC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2ECE" w:rsidRPr="00B02EC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B02ECE" w:rsidRPr="00B02E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E5FA7FF" w14:textId="77777777" w:rsidR="00B02ECE" w:rsidRDefault="00B02E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BE40" w14:textId="77777777" w:rsidR="00466D97" w:rsidRDefault="00466D97" w:rsidP="00055649">
      <w:pPr>
        <w:spacing w:after="0" w:line="240" w:lineRule="auto"/>
      </w:pPr>
      <w:r>
        <w:separator/>
      </w:r>
    </w:p>
  </w:footnote>
  <w:footnote w:type="continuationSeparator" w:id="0">
    <w:p w14:paraId="2BD74B13" w14:textId="77777777" w:rsidR="00466D97" w:rsidRDefault="00466D97" w:rsidP="00055649">
      <w:pPr>
        <w:spacing w:after="0" w:line="240" w:lineRule="auto"/>
      </w:pPr>
      <w:r>
        <w:continuationSeparator/>
      </w:r>
    </w:p>
  </w:footnote>
  <w:footnote w:id="1">
    <w:p w14:paraId="2D07EAF4" w14:textId="003E58D8" w:rsidR="00055649" w:rsidRDefault="00055649">
      <w:pPr>
        <w:pStyle w:val="FootnoteText"/>
        <w:rPr>
          <w:rFonts w:ascii="Arial" w:hAnsi="Arial" w:cs="Arial"/>
        </w:rPr>
      </w:pPr>
      <w:r w:rsidRPr="00B02ECE">
        <w:rPr>
          <w:rStyle w:val="FootnoteReference"/>
          <w:rFonts w:ascii="Arial" w:hAnsi="Arial" w:cs="Arial"/>
        </w:rPr>
        <w:footnoteRef/>
      </w:r>
      <w:r w:rsidRPr="00B02ECE">
        <w:rPr>
          <w:rFonts w:ascii="Arial" w:hAnsi="Arial" w:cs="Arial"/>
        </w:rPr>
        <w:t xml:space="preserve"> Adapted from the WHO Guidance criteria for risk assessments: </w:t>
      </w:r>
      <w:hyperlink r:id="rId1" w:history="1">
        <w:r w:rsidRPr="00B02ECE">
          <w:rPr>
            <w:rStyle w:val="Hyperlink"/>
            <w:rFonts w:ascii="Arial" w:hAnsi="Arial" w:cs="Arial"/>
          </w:rPr>
          <w:t>https://www.who.int/publications/i/item/10665-332235</w:t>
        </w:r>
      </w:hyperlink>
      <w:r w:rsidRPr="00B02ECE">
        <w:rPr>
          <w:rFonts w:ascii="Arial" w:hAnsi="Arial" w:cs="Arial"/>
        </w:rPr>
        <w:t xml:space="preserve"> </w:t>
      </w:r>
    </w:p>
    <w:p w14:paraId="72E30299" w14:textId="77777777" w:rsidR="00B02ECE" w:rsidRPr="00B02ECE" w:rsidRDefault="00B02ECE">
      <w:pPr>
        <w:pStyle w:val="Footnote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55086" w14:textId="7D1453C3" w:rsidR="00361E5F" w:rsidRPr="00E404D6" w:rsidRDefault="00361E5F" w:rsidP="00D33DDD">
    <w:pPr>
      <w:pStyle w:val="Header"/>
      <w:ind w:right="-731"/>
      <w:rPr>
        <w:sz w:val="30"/>
        <w:szCs w:val="30"/>
      </w:rPr>
    </w:pPr>
    <w:r w:rsidRPr="00E404D6">
      <w:rPr>
        <w:rFonts w:ascii="Arial" w:hAnsi="Arial" w:cs="Arial"/>
        <w:b/>
        <w:bCs/>
        <w:sz w:val="30"/>
        <w:szCs w:val="30"/>
      </w:rPr>
      <w:t xml:space="preserve">Event COVID-19 Assessment Criteria and Checklist for Event Planners </w:t>
    </w:r>
    <w:r w:rsidRPr="00E404D6">
      <w:rPr>
        <w:rFonts w:ascii="Arial" w:hAnsi="Arial" w:cs="Arial"/>
        <w:b/>
        <w:bCs/>
        <w:sz w:val="30"/>
        <w:szCs w:val="30"/>
      </w:rPr>
      <w:tab/>
    </w:r>
    <w:r w:rsidRPr="00E404D6">
      <w:rPr>
        <w:rFonts w:ascii="Arial" w:hAnsi="Arial" w:cs="Arial"/>
        <w:b/>
        <w:bCs/>
        <w:sz w:val="30"/>
        <w:szCs w:val="30"/>
      </w:rPr>
      <w:tab/>
    </w:r>
    <w:r w:rsidRPr="00E404D6">
      <w:rPr>
        <w:rFonts w:ascii="Tahoma" w:hAnsi="Tahoma" w:cs="Tahoma"/>
        <w:noProof/>
        <w:color w:val="111111"/>
        <w:sz w:val="30"/>
        <w:szCs w:val="30"/>
      </w:rPr>
      <w:drawing>
        <wp:inline distT="0" distB="0" distL="0" distR="0" wp14:anchorId="44FB60A9" wp14:editId="7AB81F96">
          <wp:extent cx="1857375" cy="609600"/>
          <wp:effectExtent l="0" t="0" r="9525" b="0"/>
          <wp:docPr id="1" name="Picture 1" descr="Landscape Colour">
            <a:hlinkClick xmlns:a="http://schemas.openxmlformats.org/drawingml/2006/main" r:id="rId1" tooltip="&quot;Landscape Colou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scape Colour">
                    <a:hlinkClick r:id="rId1" tooltip="&quot;Landscape Colou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955"/>
    <w:multiLevelType w:val="hybridMultilevel"/>
    <w:tmpl w:val="0E70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F8E"/>
    <w:multiLevelType w:val="hybridMultilevel"/>
    <w:tmpl w:val="38FE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04F"/>
    <w:multiLevelType w:val="hybridMultilevel"/>
    <w:tmpl w:val="1A1C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2F33"/>
    <w:multiLevelType w:val="hybridMultilevel"/>
    <w:tmpl w:val="DA68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FBE"/>
    <w:multiLevelType w:val="hybridMultilevel"/>
    <w:tmpl w:val="6CCAF0D8"/>
    <w:lvl w:ilvl="0" w:tplc="B9A46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EA3"/>
    <w:multiLevelType w:val="hybridMultilevel"/>
    <w:tmpl w:val="1880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B77"/>
    <w:multiLevelType w:val="hybridMultilevel"/>
    <w:tmpl w:val="9008EF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E959B4"/>
    <w:multiLevelType w:val="hybridMultilevel"/>
    <w:tmpl w:val="3314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5C26"/>
    <w:multiLevelType w:val="hybridMultilevel"/>
    <w:tmpl w:val="D602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050E"/>
    <w:multiLevelType w:val="hybridMultilevel"/>
    <w:tmpl w:val="41AA9D8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74D0B04"/>
    <w:multiLevelType w:val="hybridMultilevel"/>
    <w:tmpl w:val="7D26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26BEF"/>
    <w:multiLevelType w:val="hybridMultilevel"/>
    <w:tmpl w:val="E6BE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34259"/>
    <w:multiLevelType w:val="hybridMultilevel"/>
    <w:tmpl w:val="22662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80C36"/>
    <w:multiLevelType w:val="hybridMultilevel"/>
    <w:tmpl w:val="64A2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4412F"/>
    <w:multiLevelType w:val="hybridMultilevel"/>
    <w:tmpl w:val="015E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488A"/>
    <w:multiLevelType w:val="hybridMultilevel"/>
    <w:tmpl w:val="4E2C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51FB4"/>
    <w:multiLevelType w:val="hybridMultilevel"/>
    <w:tmpl w:val="C74C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F0040"/>
    <w:multiLevelType w:val="hybridMultilevel"/>
    <w:tmpl w:val="A7D2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6219F"/>
    <w:multiLevelType w:val="hybridMultilevel"/>
    <w:tmpl w:val="2DB27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10"/>
  </w:num>
  <w:num w:numId="13">
    <w:abstractNumId w:val="0"/>
  </w:num>
  <w:num w:numId="14">
    <w:abstractNumId w:val="18"/>
  </w:num>
  <w:num w:numId="15">
    <w:abstractNumId w:val="6"/>
  </w:num>
  <w:num w:numId="16">
    <w:abstractNumId w:val="9"/>
  </w:num>
  <w:num w:numId="17">
    <w:abstractNumId w:val="15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D"/>
    <w:rsid w:val="00055649"/>
    <w:rsid w:val="000E62DB"/>
    <w:rsid w:val="001D5DEC"/>
    <w:rsid w:val="002877EB"/>
    <w:rsid w:val="002A05DD"/>
    <w:rsid w:val="0031569A"/>
    <w:rsid w:val="00361E5F"/>
    <w:rsid w:val="00466D97"/>
    <w:rsid w:val="004C63D4"/>
    <w:rsid w:val="00525A26"/>
    <w:rsid w:val="00681005"/>
    <w:rsid w:val="006D29C7"/>
    <w:rsid w:val="006F119B"/>
    <w:rsid w:val="00704078"/>
    <w:rsid w:val="00735A07"/>
    <w:rsid w:val="007B7783"/>
    <w:rsid w:val="008915BA"/>
    <w:rsid w:val="008B5A30"/>
    <w:rsid w:val="009E594E"/>
    <w:rsid w:val="00A7720E"/>
    <w:rsid w:val="00B02ECE"/>
    <w:rsid w:val="00B17963"/>
    <w:rsid w:val="00C679EF"/>
    <w:rsid w:val="00CB20FE"/>
    <w:rsid w:val="00D33DDD"/>
    <w:rsid w:val="00E22F85"/>
    <w:rsid w:val="00E404D6"/>
    <w:rsid w:val="00E4712F"/>
    <w:rsid w:val="00E86B07"/>
    <w:rsid w:val="00EC7384"/>
    <w:rsid w:val="00F360CD"/>
    <w:rsid w:val="00F579D3"/>
    <w:rsid w:val="00F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72F73E"/>
  <w15:chartTrackingRefBased/>
  <w15:docId w15:val="{048AFE5A-9549-47AF-A9B4-501055A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F360C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36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GridTable2-Accent11">
    <w:name w:val="Grid Table 2 - Accent 11"/>
    <w:basedOn w:val="TableNormal"/>
    <w:next w:val="GridTable2-Accent1"/>
    <w:uiPriority w:val="47"/>
    <w:rsid w:val="00525A2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A30"/>
    <w:rPr>
      <w:color w:val="605E5C"/>
      <w:shd w:val="clear" w:color="auto" w:fill="E1DFDD"/>
    </w:rPr>
  </w:style>
  <w:style w:type="paragraph" w:customStyle="1" w:styleId="Default">
    <w:name w:val="Default"/>
    <w:rsid w:val="006D29C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6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6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6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ECE"/>
  </w:style>
  <w:style w:type="paragraph" w:styleId="Footer">
    <w:name w:val="footer"/>
    <w:basedOn w:val="Normal"/>
    <w:link w:val="FooterChar"/>
    <w:uiPriority w:val="99"/>
    <w:unhideWhenUsed/>
    <w:rsid w:val="00B0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ECE"/>
  </w:style>
  <w:style w:type="character" w:styleId="CommentReference">
    <w:name w:val="annotation reference"/>
    <w:basedOn w:val="DefaultParagraphFont"/>
    <w:uiPriority w:val="99"/>
    <w:semiHidden/>
    <w:unhideWhenUsed/>
    <w:rsid w:val="00D33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D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0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.gov.uk/documentlibrary/view/covid-19-secure-event-guidance1" TargetMode="External"/><Relationship Id="rId13" Type="http://schemas.openxmlformats.org/officeDocument/2006/relationships/hyperlink" Target="https://www.eventsindustryforum.co.uk/index.php/11-features/14-keeping-workers-and-audiences-safe-during-covid-19" TargetMode="External"/><Relationship Id="rId18" Type="http://schemas.openxmlformats.org/officeDocument/2006/relationships/hyperlink" Target="https://www.gov.uk/guidance/working-safely-during-coronavirus-covid-19/the-visitor-econom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ace-coverings-when-to-wear-one-and-how-to-make-your-own/face-coverings-when-to-wear-one-and-how-to-make-your-own" TargetMode="External"/><Relationship Id="rId17" Type="http://schemas.openxmlformats.org/officeDocument/2006/relationships/hyperlink" Target="https://www.gov.uk/government/publications/coronavirus-covid-19-organised-events-guidance-for-local-authorities/coronavirus-covid-19-organised-events-guidance-for-local-authoriti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covid-19-guidance-for-mass-gatherings" TargetMode="External"/><Relationship Id="rId20" Type="http://schemas.openxmlformats.org/officeDocument/2006/relationships/hyperlink" Target="https://www.gov.uk/government/publications/coronavirus-covid-19-guidance-on-phased-return-of-sport-and-recreation/guidance-for-the-public-on-the-phased-return-of-outdoor-sport-and-recre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maintaining-records-of-staff-customers-and-visitors-to-support-nhs-test-and-trace?utm_source=e159c002-348d-40e9-892a-656cc5916a0f&amp;utm_medium=email&amp;utm_campaign=govuk-notifications&amp;utm_content=immediat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eo.org.uk/covid-19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egislation.gov.uk/uksi/2020/750/contents/made" TargetMode="External"/><Relationship Id="rId19" Type="http://schemas.openxmlformats.org/officeDocument/2006/relationships/hyperlink" Target="https://www.gov.uk/guidance/working-safely-during-coronavirus-covid-19/performing-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anmail.trustwave.com/?c=17268&amp;d=0--R32AmkKFQRiL8dr0Bf5hdpbSpNInebGZk8IKv_Q&amp;s=658&amp;u=https%3a%2f%2fwww%2eeventsindustryforum%2eco%2euk%2findex%2ephp%2f11-features%2f14-keeping-workers-and-audiences-safe-during-covid-19" TargetMode="External"/><Relationship Id="rId14" Type="http://schemas.openxmlformats.org/officeDocument/2006/relationships/hyperlink" Target="https://www.thepurpleguide.co.uk/images/attachments/music-festivals-covid-19-supplementary-guidance-v1-13th-october-2020.pdf" TargetMode="External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10665-33223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ightnet.iow.gov.uk/download.aspx?filename=/shared_docs/communications/IWC_Logos_JPG/IWC%20logo%20landscape%20colou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C914-B877-48AE-AD47-FE382C6B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Bellia, Claire</dc:creator>
  <cp:keywords/>
  <dc:description/>
  <cp:lastModifiedBy>Thomas, Claire</cp:lastModifiedBy>
  <cp:revision>3</cp:revision>
  <dcterms:created xsi:type="dcterms:W3CDTF">2021-05-11T09:21:00Z</dcterms:created>
  <dcterms:modified xsi:type="dcterms:W3CDTF">2021-05-11T09:23:00Z</dcterms:modified>
</cp:coreProperties>
</file>